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151"/>
        <w:gridCol w:w="1967"/>
        <w:gridCol w:w="2460"/>
        <w:gridCol w:w="3050"/>
      </w:tblGrid>
      <w:tr w:rsidR="005E3721" w:rsidRPr="005E3721" w14:paraId="5BADD37E" w14:textId="77777777" w:rsidTr="005E3721">
        <w:tc>
          <w:tcPr>
            <w:tcW w:w="0" w:type="auto"/>
            <w:hideMark/>
          </w:tcPr>
          <w:p w14:paraId="7842A298" w14:textId="77777777" w:rsidR="005E3721" w:rsidRPr="005E3721" w:rsidRDefault="005E3721" w:rsidP="005E3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N°</w:t>
            </w:r>
          </w:p>
        </w:tc>
        <w:tc>
          <w:tcPr>
            <w:tcW w:w="0" w:type="auto"/>
            <w:hideMark/>
          </w:tcPr>
          <w:p w14:paraId="2F64A3F8" w14:textId="77777777" w:rsidR="005E3721" w:rsidRPr="005E3721" w:rsidRDefault="005E3721" w:rsidP="005E3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Quesito CNI</w:t>
            </w:r>
          </w:p>
        </w:tc>
        <w:tc>
          <w:tcPr>
            <w:tcW w:w="0" w:type="auto"/>
            <w:hideMark/>
          </w:tcPr>
          <w:p w14:paraId="42F33996" w14:textId="77777777" w:rsidR="005E3721" w:rsidRPr="005E3721" w:rsidRDefault="005E3721" w:rsidP="005E3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Risposta VVF</w:t>
            </w:r>
          </w:p>
        </w:tc>
        <w:tc>
          <w:tcPr>
            <w:tcW w:w="0" w:type="auto"/>
            <w:hideMark/>
          </w:tcPr>
          <w:p w14:paraId="07F4F6D4" w14:textId="77777777" w:rsidR="005E3721" w:rsidRPr="005E3721" w:rsidRDefault="005E3721" w:rsidP="005E37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Implicazioni pratiche per i professionisti</w:t>
            </w:r>
          </w:p>
        </w:tc>
      </w:tr>
      <w:tr w:rsidR="005E3721" w:rsidRPr="005E3721" w14:paraId="5E799B65" w14:textId="77777777" w:rsidTr="005E3721">
        <w:tc>
          <w:tcPr>
            <w:tcW w:w="0" w:type="auto"/>
            <w:hideMark/>
          </w:tcPr>
          <w:p w14:paraId="3697769F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1 – Attività n. 73 DPR 151/2011</w:t>
            </w:r>
          </w:p>
        </w:tc>
        <w:tc>
          <w:tcPr>
            <w:tcW w:w="0" w:type="auto"/>
            <w:hideMark/>
          </w:tcPr>
          <w:p w14:paraId="6BAE702D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Problemi di gestione SCIA condominiale e singole SCIA (rischio annullamenti, rinnovi bloccati, agibilità sospese).</w:t>
            </w:r>
          </w:p>
        </w:tc>
        <w:tc>
          <w:tcPr>
            <w:tcW w:w="0" w:type="auto"/>
            <w:hideMark/>
          </w:tcPr>
          <w:p w14:paraId="1E1253F4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Ammessa possibilità di SCIA per parti di attività, ma valutazione caso per caso. Nessuna nuova regola generale. Revisione normativa futura.</w:t>
            </w:r>
          </w:p>
        </w:tc>
        <w:tc>
          <w:tcPr>
            <w:tcW w:w="0" w:type="auto"/>
            <w:hideMark/>
          </w:tcPr>
          <w:p w14:paraId="402B76CE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Serve coordinare preventivamente le pratiche con i diversi titolari/professionisti. Nei casi complessi, documentare e motivare la scelta di presentazione SCIA parziale. Attendere futuri aggiornamenti normativi.</w:t>
            </w:r>
          </w:p>
        </w:tc>
      </w:tr>
      <w:tr w:rsidR="005E3721" w:rsidRPr="005E3721" w14:paraId="4653F645" w14:textId="77777777" w:rsidTr="005E3721">
        <w:tc>
          <w:tcPr>
            <w:tcW w:w="0" w:type="auto"/>
            <w:hideMark/>
          </w:tcPr>
          <w:p w14:paraId="7A4B545E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2 – Separazione autorimessa/vano scala (RTV.6)</w:t>
            </w:r>
          </w:p>
        </w:tc>
        <w:tc>
          <w:tcPr>
            <w:tcW w:w="0" w:type="auto"/>
            <w:hideMark/>
          </w:tcPr>
          <w:p w14:paraId="36F0A2D2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Dubbi sul requisito del filtro anche verso edifici residenziali.</w:t>
            </w:r>
          </w:p>
        </w:tc>
        <w:tc>
          <w:tcPr>
            <w:tcW w:w="0" w:type="auto"/>
            <w:hideMark/>
          </w:tcPr>
          <w:p w14:paraId="48A311C1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Confermato rinvio alle definizioni del DM 03/08/2015. Revisione RTV.6 chiarirà definitivamente.</w:t>
            </w:r>
          </w:p>
        </w:tc>
        <w:tc>
          <w:tcPr>
            <w:tcW w:w="0" w:type="auto"/>
            <w:hideMark/>
          </w:tcPr>
          <w:p w14:paraId="32ECED2F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 attesa della revisione, adottare interpretazione prudenziale: considerare il filtro anche verso abitazioni collegate. Seguire evoluzioni della RTV.6.</w:t>
            </w:r>
          </w:p>
        </w:tc>
      </w:tr>
      <w:tr w:rsidR="005E3721" w:rsidRPr="005E3721" w14:paraId="4DE3362E" w14:textId="77777777" w:rsidTr="005E3721">
        <w:tc>
          <w:tcPr>
            <w:tcW w:w="0" w:type="auto"/>
            <w:hideMark/>
          </w:tcPr>
          <w:p w14:paraId="1E1B98E0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3 – Carico d’incendio elevato (</w:t>
            </w:r>
            <w:proofErr w:type="spellStart"/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qf</w:t>
            </w:r>
            <w:proofErr w:type="spellEnd"/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)</w:t>
            </w:r>
          </w:p>
        </w:tc>
        <w:tc>
          <w:tcPr>
            <w:tcW w:w="0" w:type="auto"/>
            <w:hideMark/>
          </w:tcPr>
          <w:p w14:paraId="23C47AC1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Alcuni Comandi fissano soglia 1500 MJ/m² per livello IV.</w:t>
            </w:r>
          </w:p>
        </w:tc>
        <w:tc>
          <w:tcPr>
            <w:tcW w:w="0" w:type="auto"/>
            <w:hideMark/>
          </w:tcPr>
          <w:p w14:paraId="43A60C7D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Nessuna soglia numerica univoca. Livello IV va deciso con valutazione caso per caso su più fattori.</w:t>
            </w:r>
          </w:p>
        </w:tc>
        <w:tc>
          <w:tcPr>
            <w:tcW w:w="0" w:type="auto"/>
            <w:hideMark/>
          </w:tcPr>
          <w:p w14:paraId="5439F119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Motivare le scelte progettuali con analisi di rischio documentata. Non basarsi solo su valori numerici. Seguire eventuali futuri criteri quantitativi che potranno essere introdotti.</w:t>
            </w:r>
          </w:p>
        </w:tc>
      </w:tr>
      <w:tr w:rsidR="005E3721" w:rsidRPr="005E3721" w14:paraId="5996172F" w14:textId="77777777" w:rsidTr="005E3721">
        <w:tc>
          <w:tcPr>
            <w:tcW w:w="0" w:type="auto"/>
            <w:hideMark/>
          </w:tcPr>
          <w:p w14:paraId="20A26458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4 – Stazioni di pompaggio antincendio</w:t>
            </w:r>
          </w:p>
        </w:tc>
        <w:tc>
          <w:tcPr>
            <w:tcW w:w="0" w:type="auto"/>
            <w:hideMark/>
          </w:tcPr>
          <w:p w14:paraId="10F05173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Alcuni Comandi chiedono asseverazione diretta della continuità di servizio.</w:t>
            </w:r>
          </w:p>
        </w:tc>
        <w:tc>
          <w:tcPr>
            <w:tcW w:w="0" w:type="auto"/>
            <w:hideMark/>
          </w:tcPr>
          <w:p w14:paraId="6E715535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La continuità può essere attestata con dati statistici forniti da enti gestori o riportati dal professionista. Nessuna responsabilità diretta sui servizi terzi.</w:t>
            </w:r>
          </w:p>
        </w:tc>
        <w:tc>
          <w:tcPr>
            <w:tcW w:w="0" w:type="auto"/>
            <w:hideMark/>
          </w:tcPr>
          <w:p w14:paraId="0CDEC772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Riportare in progetto dati di affidabilità pubblicati o disponibili presso gli enti. Evitare dichiarazioni improprie di responsabilità. Usare riferimenti UNI 10779 e Codice S.6.8.2.</w:t>
            </w:r>
          </w:p>
        </w:tc>
      </w:tr>
      <w:tr w:rsidR="005E3721" w:rsidRPr="005E3721" w14:paraId="4CB9B8DB" w14:textId="77777777" w:rsidTr="005E3721">
        <w:tc>
          <w:tcPr>
            <w:tcW w:w="0" w:type="auto"/>
            <w:hideMark/>
          </w:tcPr>
          <w:p w14:paraId="6E045DCF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it-IT"/>
                <w14:ligatures w14:val="none"/>
              </w:rPr>
              <w:t>5 – Cadenza quinquennale rinnovi (ARPCA)</w:t>
            </w:r>
          </w:p>
        </w:tc>
        <w:tc>
          <w:tcPr>
            <w:tcW w:w="0" w:type="auto"/>
            <w:hideMark/>
          </w:tcPr>
          <w:p w14:paraId="388FB214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Dubbi su scadenze, SCIA parziali e rinnovi tardivi.</w:t>
            </w:r>
          </w:p>
        </w:tc>
        <w:tc>
          <w:tcPr>
            <w:tcW w:w="0" w:type="auto"/>
            <w:hideMark/>
          </w:tcPr>
          <w:p w14:paraId="7BAF880C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Confermata cadenza quinquennale fissa dalla prima SCIA/CPI. Rinnovi tardivi non modificano la scadenza. SCIA ≠ ARPCA. Revisione normativa per semplificazione modulistica.</w:t>
            </w:r>
          </w:p>
        </w:tc>
        <w:tc>
          <w:tcPr>
            <w:tcW w:w="0" w:type="auto"/>
            <w:hideMark/>
          </w:tcPr>
          <w:p w14:paraId="18032BF3" w14:textId="77777777" w:rsidR="005E3721" w:rsidRPr="005E3721" w:rsidRDefault="005E3721" w:rsidP="005E3721">
            <w:pP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5E372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  <w:t>Informare i committenti che la scadenza resta invariata anche in caso di ritardi. Non confondere SCIA e ARPCA. Annotare sempre la data iniziale della prima SCIA come riferimento quinquennale.</w:t>
            </w:r>
          </w:p>
        </w:tc>
      </w:tr>
    </w:tbl>
    <w:p w14:paraId="2616AA0E" w14:textId="77777777" w:rsidR="00336AF8" w:rsidRDefault="00336AF8"/>
    <w:sectPr w:rsidR="00336AF8" w:rsidSect="00EF4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721"/>
    <w:rsid w:val="00336AF8"/>
    <w:rsid w:val="005E3721"/>
    <w:rsid w:val="00C15881"/>
    <w:rsid w:val="00D078F3"/>
    <w:rsid w:val="00DD14E8"/>
    <w:rsid w:val="00EF4436"/>
    <w:rsid w:val="00F2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C5FF8"/>
  <w15:chartTrackingRefBased/>
  <w15:docId w15:val="{3B17E7F3-FEBB-486F-9BE0-41F94B60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E37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E37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E37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37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E37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E37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E37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E37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E37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E37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E37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E37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372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E372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E372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E372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E372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E372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E37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E37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E37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E37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E37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E372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E372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E372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E37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E372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E3721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5E37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1893</Characters>
  <Application>Microsoft Office Word</Application>
  <DocSecurity>0</DocSecurity>
  <Lines>15</Lines>
  <Paragraphs>4</Paragraphs>
  <ScaleCrop>false</ScaleCrop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BENNI</dc:creator>
  <cp:keywords/>
  <dc:description/>
  <cp:lastModifiedBy>PAOLO BENNI</cp:lastModifiedBy>
  <cp:revision>1</cp:revision>
  <dcterms:created xsi:type="dcterms:W3CDTF">2025-08-26T12:08:00Z</dcterms:created>
  <dcterms:modified xsi:type="dcterms:W3CDTF">2025-08-26T12:11:00Z</dcterms:modified>
</cp:coreProperties>
</file>