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467A1" w14:textId="4BA4A195" w:rsidR="00336AF8" w:rsidRDefault="00C1377B">
      <w:pPr>
        <w:rPr>
          <w:sz w:val="44"/>
          <w:szCs w:val="44"/>
        </w:rPr>
      </w:pPr>
      <w:r w:rsidRPr="00C1377B">
        <w:rPr>
          <w:rStyle w:val="Enfasigrassetto"/>
          <w:sz w:val="44"/>
          <w:szCs w:val="44"/>
        </w:rPr>
        <w:t>LR Lombardia 10 febbraio 2026, n. 5</w:t>
      </w:r>
      <w:r w:rsidRPr="00C1377B">
        <w:rPr>
          <w:sz w:val="44"/>
          <w:szCs w:val="4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6"/>
        <w:gridCol w:w="2060"/>
        <w:gridCol w:w="4348"/>
        <w:gridCol w:w="3611"/>
        <w:gridCol w:w="3428"/>
      </w:tblGrid>
      <w:tr w:rsidR="00C1377B" w:rsidRPr="00C1377B" w14:paraId="296FE0CE" w14:textId="77777777" w:rsidTr="00C1377B">
        <w:tc>
          <w:tcPr>
            <w:tcW w:w="0" w:type="auto"/>
            <w:hideMark/>
          </w:tcPr>
          <w:p w14:paraId="033AF1E2" w14:textId="77777777" w:rsidR="00C1377B" w:rsidRPr="00C1377B" w:rsidRDefault="00C1377B" w:rsidP="00C13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Articolo</w:t>
            </w:r>
          </w:p>
        </w:tc>
        <w:tc>
          <w:tcPr>
            <w:tcW w:w="0" w:type="auto"/>
            <w:hideMark/>
          </w:tcPr>
          <w:p w14:paraId="075E22DA" w14:textId="77777777" w:rsidR="00C1377B" w:rsidRPr="00C1377B" w:rsidRDefault="00C1377B" w:rsidP="00C13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Titolo / Oggetto</w:t>
            </w:r>
          </w:p>
        </w:tc>
        <w:tc>
          <w:tcPr>
            <w:tcW w:w="0" w:type="auto"/>
            <w:hideMark/>
          </w:tcPr>
          <w:p w14:paraId="416BBE12" w14:textId="77777777" w:rsidR="00C1377B" w:rsidRPr="00C1377B" w:rsidRDefault="00C1377B" w:rsidP="00C13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Prescrizioni principali (cosa impone)</w:t>
            </w:r>
          </w:p>
        </w:tc>
        <w:tc>
          <w:tcPr>
            <w:tcW w:w="0" w:type="auto"/>
            <w:hideMark/>
          </w:tcPr>
          <w:p w14:paraId="5D677DD6" w14:textId="77777777" w:rsidR="00C1377B" w:rsidRPr="00C1377B" w:rsidRDefault="00C1377B" w:rsidP="00C13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Documenti da tenere (in pratica)</w:t>
            </w:r>
          </w:p>
        </w:tc>
        <w:tc>
          <w:tcPr>
            <w:tcW w:w="0" w:type="auto"/>
            <w:hideMark/>
          </w:tcPr>
          <w:p w14:paraId="66536C55" w14:textId="77777777" w:rsidR="00C1377B" w:rsidRPr="00C1377B" w:rsidRDefault="00C1377B" w:rsidP="00C13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Norme richiamate / standard tecnici</w:t>
            </w:r>
          </w:p>
        </w:tc>
      </w:tr>
      <w:tr w:rsidR="00C1377B" w:rsidRPr="00C1377B" w14:paraId="0FC93941" w14:textId="77777777" w:rsidTr="00C1377B">
        <w:tc>
          <w:tcPr>
            <w:tcW w:w="0" w:type="auto"/>
            <w:hideMark/>
          </w:tcPr>
          <w:p w14:paraId="44101634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1</w:t>
            </w:r>
          </w:p>
        </w:tc>
        <w:tc>
          <w:tcPr>
            <w:tcW w:w="0" w:type="auto"/>
            <w:hideMark/>
          </w:tcPr>
          <w:p w14:paraId="38309ACA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 e campo di applicazione</w:t>
            </w:r>
          </w:p>
        </w:tc>
        <w:tc>
          <w:tcPr>
            <w:tcW w:w="0" w:type="auto"/>
            <w:hideMark/>
          </w:tcPr>
          <w:p w14:paraId="3BAEFF51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Definisce che la legge disciplina le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di protezione delle vie respiratorie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lavorazioni con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esposizione a silicati fibrosi (amianto)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declina operativamente il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Titolo IX, Capo III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 d.lgs. 81/08. Ribadisce l’obbligo di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individuare la presenza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materiali potenzialmente contenenti amianto prima di demolizioni/manutenzioni; in caso di dubbio si applicano le disposizioni specifiche amianto.</w:t>
            </w:r>
          </w:p>
        </w:tc>
        <w:tc>
          <w:tcPr>
            <w:tcW w:w="0" w:type="auto"/>
            <w:hideMark/>
          </w:tcPr>
          <w:p w14:paraId="4385884A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DVR/Valutazione rischio amianto; evidenze di verifiche preliminari (indagini, informazioni del committente/proprietario, schede materiali, esiti campionamenti se disponibili).</w:t>
            </w:r>
          </w:p>
        </w:tc>
        <w:tc>
          <w:tcPr>
            <w:tcW w:w="0" w:type="auto"/>
            <w:hideMark/>
          </w:tcPr>
          <w:p w14:paraId="74CA4BC2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 81/08 Titolo IX Capo III (artt. 247 e seguenti).</w:t>
            </w:r>
          </w:p>
        </w:tc>
      </w:tr>
      <w:tr w:rsidR="00C1377B" w:rsidRPr="00C1377B" w14:paraId="6C38F2DD" w14:textId="77777777" w:rsidTr="00C1377B">
        <w:tc>
          <w:tcPr>
            <w:tcW w:w="0" w:type="auto"/>
            <w:hideMark/>
          </w:tcPr>
          <w:p w14:paraId="35A63C1E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2</w:t>
            </w:r>
          </w:p>
        </w:tc>
        <w:tc>
          <w:tcPr>
            <w:tcW w:w="0" w:type="auto"/>
            <w:hideMark/>
          </w:tcPr>
          <w:p w14:paraId="455D2C01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respiratoria</w:t>
            </w:r>
          </w:p>
        </w:tc>
        <w:tc>
          <w:tcPr>
            <w:tcW w:w="0" w:type="auto"/>
            <w:hideMark/>
          </w:tcPr>
          <w:p w14:paraId="226E0BCA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 i rischi di esposizione a polveri/fibre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possono essere evitati o sufficientemente limitati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misure tecniche/collettive, il datore di lavoro deve fornire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idonei DPI per le vie respiratorie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selezionati e gestiti secondo il Capo II della LR.</w:t>
            </w:r>
          </w:p>
        </w:tc>
        <w:tc>
          <w:tcPr>
            <w:tcW w:w="0" w:type="auto"/>
            <w:hideMark/>
          </w:tcPr>
          <w:p w14:paraId="72C70DA9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di protezione vie respiratorie (procedure); elenco DPI consegnati; istruzioni d’uso; registri consegna e addestramento.</w:t>
            </w:r>
          </w:p>
        </w:tc>
        <w:tc>
          <w:tcPr>
            <w:tcW w:w="0" w:type="auto"/>
            <w:hideMark/>
          </w:tcPr>
          <w:p w14:paraId="5963FEF5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 81/08 (obbligo DPI quando misure collettive non bastano).</w:t>
            </w:r>
          </w:p>
        </w:tc>
      </w:tr>
      <w:tr w:rsidR="00C1377B" w:rsidRPr="00C1377B" w14:paraId="7A783D1A" w14:textId="77777777" w:rsidTr="00C1377B">
        <w:tc>
          <w:tcPr>
            <w:tcW w:w="0" w:type="auto"/>
            <w:hideMark/>
          </w:tcPr>
          <w:p w14:paraId="5FC9FDC5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3</w:t>
            </w:r>
          </w:p>
        </w:tc>
        <w:tc>
          <w:tcPr>
            <w:tcW w:w="0" w:type="auto"/>
            <w:hideMark/>
          </w:tcPr>
          <w:p w14:paraId="63196793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Criteri di scelta alternativi</w:t>
            </w:r>
          </w:p>
        </w:tc>
        <w:tc>
          <w:tcPr>
            <w:tcW w:w="0" w:type="auto"/>
            <w:hideMark/>
          </w:tcPr>
          <w:p w14:paraId="60A759A7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Consente criteri/soluzioni diverse da quelle indicate dalla legge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solo se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garantiscono un livello di sicurezza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equivalente o superiore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F27410D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Giustificazione tecnica (relazione RSPP/tecnica); confronto prestazionale; aggiornamento procedure e DVR.</w:t>
            </w:r>
          </w:p>
        </w:tc>
        <w:tc>
          <w:tcPr>
            <w:tcW w:w="0" w:type="auto"/>
            <w:hideMark/>
          </w:tcPr>
          <w:p w14:paraId="6FF739FB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Principio di equivalenza/superiorità del livello di protezione.</w:t>
            </w:r>
          </w:p>
        </w:tc>
      </w:tr>
      <w:tr w:rsidR="00C1377B" w:rsidRPr="00C1377B" w14:paraId="5D40C286" w14:textId="77777777" w:rsidTr="00C1377B">
        <w:tc>
          <w:tcPr>
            <w:tcW w:w="0" w:type="auto"/>
            <w:hideMark/>
          </w:tcPr>
          <w:p w14:paraId="71CD1670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4</w:t>
            </w:r>
          </w:p>
        </w:tc>
        <w:tc>
          <w:tcPr>
            <w:tcW w:w="0" w:type="auto"/>
            <w:hideMark/>
          </w:tcPr>
          <w:p w14:paraId="63E2BA9A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Funzioni delle ATS</w:t>
            </w:r>
          </w:p>
        </w:tc>
        <w:tc>
          <w:tcPr>
            <w:tcW w:w="0" w:type="auto"/>
            <w:hideMark/>
          </w:tcPr>
          <w:p w14:paraId="0C1D7FCA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Attribuisce alle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ATS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attività di prevenzione, tutela e controllo: verifica di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programmi di protezione vie respiratorie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formazione/addestramento; controllo anche dei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piani di lavoro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(art. 256 d.lgs. 81/08) quando rischio/entità lavorazioni può incidere su salute di lavoratori e collettività; raccordo con LR 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17/2003 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PRAL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2BC13B1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Piano di lavoro amianto (art. 256); programma protezione vie respiratorie; registri manutenzione/</w:t>
            </w:r>
            <w:proofErr w:type="spellStart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-test/addestramento; evidenze di conformità a richieste ATS.</w:t>
            </w:r>
          </w:p>
        </w:tc>
        <w:tc>
          <w:tcPr>
            <w:tcW w:w="0" w:type="auto"/>
            <w:hideMark/>
          </w:tcPr>
          <w:p w14:paraId="644C46B0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LR Lombardia 17/2003; PRAL; d.lgs. 81/08 art. 256.</w:t>
            </w:r>
          </w:p>
        </w:tc>
      </w:tr>
      <w:tr w:rsidR="00C1377B" w:rsidRPr="00C1377B" w14:paraId="31C811D2" w14:textId="77777777" w:rsidTr="00C1377B">
        <w:tc>
          <w:tcPr>
            <w:tcW w:w="0" w:type="auto"/>
            <w:hideMark/>
          </w:tcPr>
          <w:p w14:paraId="187380CC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5</w:t>
            </w:r>
          </w:p>
        </w:tc>
        <w:tc>
          <w:tcPr>
            <w:tcW w:w="0" w:type="auto"/>
            <w:hideMark/>
          </w:tcPr>
          <w:p w14:paraId="2220DE17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Scelta dell’APVR (apparecchio di protezione vie respiratorie)</w:t>
            </w:r>
          </w:p>
        </w:tc>
        <w:tc>
          <w:tcPr>
            <w:tcW w:w="0" w:type="auto"/>
            <w:hideMark/>
          </w:tcPr>
          <w:p w14:paraId="61F4D2DF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Quando la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polvere supera la soglia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cui all’art. 254 d.lgs. 81/08, in base a concentrazioni e valutazione rischi, il lavoratore deve essere dotato di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almeno un APVR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tra quelli elencati per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tre livelli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(a) Polvere di </w:t>
            </w:r>
            <w:proofErr w:type="gramStart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1°</w:t>
            </w:r>
            <w:proofErr w:type="gramEnd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livello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FFP3 monouso (UNI EN 149) </w:t>
            </w:r>
            <w:r w:rsidRPr="00C137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solo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esposizioni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sporadiche e di debole intensità (ESEDI)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per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&lt; 15 min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oppure semimaschera/pieno facciale con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filtri P3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(UNI EN 143); oppure respiratori a ventilazione motorizzata (classi TM/TH con P).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(b) Polvere di </w:t>
            </w:r>
            <w:proofErr w:type="gramStart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2°</w:t>
            </w:r>
            <w:proofErr w:type="gramEnd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livello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ventilazione alimentata ad alte prestazioni (es. TM3P con pieno facciale), oppure respiratori isolanti ad aria respirabile/alimentazione (UNI EN 14594) e/o ad aria compressa a pressione positiva (UNI EN 14593-1) con portate minime indicate.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(c) Polvere di </w:t>
            </w:r>
            <w:proofErr w:type="gramStart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3°</w:t>
            </w:r>
            <w:proofErr w:type="gramEnd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livello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massima protezione con respiratori isolanti (UNI EN 14594 / UNI EN 14593-1) e possibilità di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indumenti protettivi ventilati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 tenuta di particelle. Inoltre: lo smaltimento dei facciali monouso deve essere tracciato nel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84AAFE6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di scelta APVR per attività/livello; schede tecniche e marcatura; istruzioni e limiti d’uso; registro sostituzione filtri; tracciabilità smaltimento (FIR) per monouso; collegamento con DVR e piano di lavoro.</w:t>
            </w:r>
          </w:p>
        </w:tc>
        <w:tc>
          <w:tcPr>
            <w:tcW w:w="0" w:type="auto"/>
            <w:hideMark/>
          </w:tcPr>
          <w:p w14:paraId="344AB9D6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 81/08 art. 254; UNI EN 149 (FFP); UNI EN 143 (filtri P3); (altre UNI EN per ventilazione motorizzata e respiratori isolanti: UNI EN 14594, UNI EN 14593-1 e classi richiamate nel testo).</w:t>
            </w:r>
          </w:p>
        </w:tc>
      </w:tr>
      <w:tr w:rsidR="00C1377B" w:rsidRPr="00C1377B" w14:paraId="154E281D" w14:textId="77777777" w:rsidTr="00C1377B">
        <w:tc>
          <w:tcPr>
            <w:tcW w:w="0" w:type="auto"/>
            <w:hideMark/>
          </w:tcPr>
          <w:p w14:paraId="63607F47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6</w:t>
            </w:r>
          </w:p>
        </w:tc>
        <w:tc>
          <w:tcPr>
            <w:tcW w:w="0" w:type="auto"/>
            <w:hideMark/>
          </w:tcPr>
          <w:p w14:paraId="07FFA668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Collaudo, cura e manutenzione dei respiratori</w:t>
            </w:r>
          </w:p>
        </w:tc>
        <w:tc>
          <w:tcPr>
            <w:tcW w:w="0" w:type="auto"/>
            <w:hideMark/>
          </w:tcPr>
          <w:p w14:paraId="759F8E90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Prima di ogni uso: controllo condizioni generali e corretto funzionamento. Prevede </w:t>
            </w:r>
            <w:proofErr w:type="spellStart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-test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all’inizio 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almeno annuale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e anche in caso di variazioni morfologiche, secondo UNI 11719:2025. Dopo l’uso: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decontaminazione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gestione ambienti/percorsi per evitare 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contaminazioni; controlli dopo eventi/interventi che possano alterare efficacia e comunque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almeno ogni 12 mesi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Le date/frequenze di sostituzione filtri vanno registrate nel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registro del programma di protezione vie respiratorie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52D1FA7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Registro programma protezione vie respiratorie; verbali </w:t>
            </w:r>
            <w:proofErr w:type="spellStart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-test; check </w:t>
            </w:r>
            <w:proofErr w:type="spellStart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-uso; schede manutenzione e controlli periodici; procedure e log di decontaminazione; tracciamento sostituzione filtri.</w:t>
            </w:r>
          </w:p>
        </w:tc>
        <w:tc>
          <w:tcPr>
            <w:tcW w:w="0" w:type="auto"/>
            <w:hideMark/>
          </w:tcPr>
          <w:p w14:paraId="2F240E87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11719:2025 (</w:t>
            </w:r>
            <w:proofErr w:type="spellStart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-test e gestione APVR) + obblighi di manutenzione/efficienza DPI.</w:t>
            </w:r>
          </w:p>
        </w:tc>
      </w:tr>
      <w:tr w:rsidR="00C1377B" w:rsidRPr="00C1377B" w14:paraId="58B7129A" w14:textId="77777777" w:rsidTr="00C1377B">
        <w:tc>
          <w:tcPr>
            <w:tcW w:w="0" w:type="auto"/>
            <w:hideMark/>
          </w:tcPr>
          <w:p w14:paraId="7265968E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7</w:t>
            </w:r>
          </w:p>
        </w:tc>
        <w:tc>
          <w:tcPr>
            <w:tcW w:w="0" w:type="auto"/>
            <w:hideMark/>
          </w:tcPr>
          <w:p w14:paraId="3E4DC45D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Addestramento</w:t>
            </w:r>
          </w:p>
        </w:tc>
        <w:tc>
          <w:tcPr>
            <w:tcW w:w="0" w:type="auto"/>
            <w:hideMark/>
          </w:tcPr>
          <w:p w14:paraId="48730A83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Prima dell’uso di un APVR deve essere effettuato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addestramento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 soggetto con competenze secondo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11719:2025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(o in collaborazione con organismi paritetici, se presenti).</w:t>
            </w:r>
          </w:p>
        </w:tc>
        <w:tc>
          <w:tcPr>
            <w:tcW w:w="0" w:type="auto"/>
            <w:hideMark/>
          </w:tcPr>
          <w:p w14:paraId="00671E8F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addestramento (date, contenuti, firma); materiale didattico/procedure; elenco operatori abilitati all’uso.</w:t>
            </w:r>
          </w:p>
        </w:tc>
        <w:tc>
          <w:tcPr>
            <w:tcW w:w="0" w:type="auto"/>
            <w:hideMark/>
          </w:tcPr>
          <w:p w14:paraId="0F0BF4B2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 11719:2025; principi formativi/addestrativi in materia DPI.</w:t>
            </w:r>
          </w:p>
        </w:tc>
      </w:tr>
      <w:tr w:rsidR="00C1377B" w:rsidRPr="00C1377B" w14:paraId="17507BF9" w14:textId="77777777" w:rsidTr="00C1377B">
        <w:tc>
          <w:tcPr>
            <w:tcW w:w="0" w:type="auto"/>
            <w:hideMark/>
          </w:tcPr>
          <w:p w14:paraId="02518029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8</w:t>
            </w:r>
          </w:p>
        </w:tc>
        <w:tc>
          <w:tcPr>
            <w:tcW w:w="0" w:type="auto"/>
            <w:hideMark/>
          </w:tcPr>
          <w:p w14:paraId="0BAE6543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delle norme richiamate</w:t>
            </w:r>
          </w:p>
        </w:tc>
        <w:tc>
          <w:tcPr>
            <w:tcW w:w="0" w:type="auto"/>
            <w:hideMark/>
          </w:tcPr>
          <w:p w14:paraId="3C6F6FF1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Le norme tecniche richiamate si intendono riferite alle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versioni aggiornate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secondo legislazione nazionale vigente (meccanismo di aggiornamento “dinamico”).</w:t>
            </w:r>
          </w:p>
        </w:tc>
        <w:tc>
          <w:tcPr>
            <w:tcW w:w="0" w:type="auto"/>
            <w:hideMark/>
          </w:tcPr>
          <w:p w14:paraId="1A264EA7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periodica aggiornamento norme UNI/EN adottate; revisione procedure e DVR quando cambiano edizioni.</w:t>
            </w:r>
          </w:p>
        </w:tc>
        <w:tc>
          <w:tcPr>
            <w:tcW w:w="0" w:type="auto"/>
            <w:hideMark/>
          </w:tcPr>
          <w:p w14:paraId="4AA42C9E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alle edizioni vigenti delle UNI/EN richiamate.</w:t>
            </w:r>
          </w:p>
        </w:tc>
      </w:tr>
      <w:tr w:rsidR="00C1377B" w:rsidRPr="00C1377B" w14:paraId="052B59F7" w14:textId="77777777" w:rsidTr="00C1377B">
        <w:tc>
          <w:tcPr>
            <w:tcW w:w="0" w:type="auto"/>
            <w:hideMark/>
          </w:tcPr>
          <w:p w14:paraId="05B0B961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9</w:t>
            </w:r>
          </w:p>
        </w:tc>
        <w:tc>
          <w:tcPr>
            <w:tcW w:w="0" w:type="auto"/>
            <w:hideMark/>
          </w:tcPr>
          <w:p w14:paraId="67C4815F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Clausola finanziaria</w:t>
            </w:r>
          </w:p>
        </w:tc>
        <w:tc>
          <w:tcPr>
            <w:tcW w:w="0" w:type="auto"/>
            <w:hideMark/>
          </w:tcPr>
          <w:p w14:paraId="78A4101F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 l’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invarianza finanziaria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nessun nuovo o maggiore onere per il bilancio regionale.</w:t>
            </w:r>
          </w:p>
        </w:tc>
        <w:tc>
          <w:tcPr>
            <w:tcW w:w="0" w:type="auto"/>
            <w:hideMark/>
          </w:tcPr>
          <w:p w14:paraId="490B63B5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evidenza operativa specifica (è norma di bilancio).</w:t>
            </w:r>
          </w:p>
        </w:tc>
        <w:tc>
          <w:tcPr>
            <w:tcW w:w="0" w:type="auto"/>
            <w:hideMark/>
          </w:tcPr>
          <w:p w14:paraId="54FCE6B4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  <w:tr w:rsidR="00C1377B" w:rsidRPr="00C1377B" w14:paraId="50DF67C4" w14:textId="77777777" w:rsidTr="00C1377B">
        <w:tc>
          <w:tcPr>
            <w:tcW w:w="0" w:type="auto"/>
            <w:hideMark/>
          </w:tcPr>
          <w:p w14:paraId="6B2712A6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10</w:t>
            </w:r>
          </w:p>
        </w:tc>
        <w:tc>
          <w:tcPr>
            <w:tcW w:w="0" w:type="auto"/>
            <w:hideMark/>
          </w:tcPr>
          <w:p w14:paraId="550353CE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Entrata in vigore</w:t>
            </w:r>
          </w:p>
        </w:tc>
        <w:tc>
          <w:tcPr>
            <w:tcW w:w="0" w:type="auto"/>
            <w:hideMark/>
          </w:tcPr>
          <w:p w14:paraId="7BB2D615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Entrata in vigore </w:t>
            </w:r>
            <w:r w:rsidRPr="00C137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 giorno successivo</w:t>
            </w: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alla pubblicazione sul BURL.</w:t>
            </w:r>
          </w:p>
        </w:tc>
        <w:tc>
          <w:tcPr>
            <w:tcW w:w="0" w:type="auto"/>
            <w:hideMark/>
          </w:tcPr>
          <w:p w14:paraId="16CBD213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data “validità normativa” in DVR/procedure aziendali.</w:t>
            </w:r>
          </w:p>
        </w:tc>
        <w:tc>
          <w:tcPr>
            <w:tcW w:w="0" w:type="auto"/>
            <w:hideMark/>
          </w:tcPr>
          <w:p w14:paraId="2446F2DA" w14:textId="77777777" w:rsidR="00C1377B" w:rsidRPr="00C1377B" w:rsidRDefault="00C1377B" w:rsidP="00C1377B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137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</w:tbl>
    <w:p w14:paraId="1D0F2DF0" w14:textId="77777777" w:rsidR="00C1377B" w:rsidRPr="00C1377B" w:rsidRDefault="00C1377B">
      <w:pPr>
        <w:rPr>
          <w:sz w:val="44"/>
          <w:szCs w:val="44"/>
        </w:rPr>
      </w:pPr>
    </w:p>
    <w:sectPr w:rsidR="00C1377B" w:rsidRPr="00C1377B" w:rsidSect="00C1377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377B"/>
    <w:rsid w:val="00336AF8"/>
    <w:rsid w:val="0044425B"/>
    <w:rsid w:val="00C1377B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2E33"/>
  <w15:chartTrackingRefBased/>
  <w15:docId w15:val="{0D7C6586-0979-4D99-9314-0A3D149A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3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3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3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3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3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3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3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3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3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3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3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3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37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37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37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37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37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37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3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3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3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3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3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37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37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37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3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37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377B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C1377B"/>
    <w:rPr>
      <w:b/>
      <w:bCs/>
    </w:rPr>
  </w:style>
  <w:style w:type="character" w:styleId="Enfasicorsivo">
    <w:name w:val="Emphasis"/>
    <w:basedOn w:val="Carpredefinitoparagrafo"/>
    <w:uiPriority w:val="20"/>
    <w:qFormat/>
    <w:rsid w:val="00C1377B"/>
    <w:rPr>
      <w:i/>
      <w:iCs/>
    </w:rPr>
  </w:style>
  <w:style w:type="table" w:styleId="Grigliatabella">
    <w:name w:val="Table Grid"/>
    <w:basedOn w:val="Tabellanormale"/>
    <w:uiPriority w:val="39"/>
    <w:rsid w:val="00C13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4864</Characters>
  <Application>Microsoft Office Word</Application>
  <DocSecurity>0</DocSecurity>
  <Lines>194</Lines>
  <Paragraphs>62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2026-02-14T15:34:00Z</dcterms:created>
  <dcterms:modified xsi:type="dcterms:W3CDTF">2026-02-14T15:35:00Z</dcterms:modified>
</cp:coreProperties>
</file>