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43"/>
        <w:gridCol w:w="5147"/>
        <w:gridCol w:w="3195"/>
        <w:gridCol w:w="3818"/>
      </w:tblGrid>
      <w:tr w:rsidR="002D6268" w:rsidRPr="00E93EB4" w14:paraId="45E93A73" w14:textId="77777777" w:rsidTr="00E93EB4">
        <w:tc>
          <w:tcPr>
            <w:tcW w:w="0" w:type="auto"/>
            <w:hideMark/>
          </w:tcPr>
          <w:p w14:paraId="195C0D53" w14:textId="77777777" w:rsidR="002D6268" w:rsidRPr="00E93EB4" w:rsidRDefault="002D6268" w:rsidP="00E93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Ambito / Tema</w:t>
            </w:r>
          </w:p>
        </w:tc>
        <w:tc>
          <w:tcPr>
            <w:tcW w:w="0" w:type="auto"/>
            <w:hideMark/>
          </w:tcPr>
          <w:p w14:paraId="7B77DF79" w14:textId="290427B8" w:rsidR="002D6268" w:rsidRPr="00E93EB4" w:rsidRDefault="002D6268" w:rsidP="00E93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Cosa prevede (descrizione operativa)</w:t>
            </w:r>
          </w:p>
        </w:tc>
        <w:tc>
          <w:tcPr>
            <w:tcW w:w="0" w:type="auto"/>
            <w:hideMark/>
          </w:tcPr>
          <w:p w14:paraId="40C5193F" w14:textId="77777777" w:rsidR="002D6268" w:rsidRPr="00E93EB4" w:rsidRDefault="002D6268" w:rsidP="00E93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Chi riguarda / Quando si applica</w:t>
            </w:r>
          </w:p>
        </w:tc>
        <w:tc>
          <w:tcPr>
            <w:tcW w:w="0" w:type="auto"/>
            <w:hideMark/>
          </w:tcPr>
          <w:p w14:paraId="64665C21" w14:textId="77777777" w:rsidR="002D6268" w:rsidRPr="00E93EB4" w:rsidRDefault="002D6268" w:rsidP="00E93E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Riferimenti normativi principali</w:t>
            </w:r>
          </w:p>
        </w:tc>
      </w:tr>
      <w:tr w:rsidR="002D6268" w:rsidRPr="00E93EB4" w14:paraId="07577A00" w14:textId="77777777" w:rsidTr="00E93EB4">
        <w:tc>
          <w:tcPr>
            <w:tcW w:w="0" w:type="auto"/>
            <w:hideMark/>
          </w:tcPr>
          <w:p w14:paraId="1F742D2A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alcol per “attività ad elevato rischio”</w:t>
            </w:r>
          </w:p>
        </w:tc>
        <w:tc>
          <w:tcPr>
            <w:tcW w:w="0" w:type="auto"/>
            <w:hideMark/>
          </w:tcPr>
          <w:p w14:paraId="46F56080" w14:textId="52B316DF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Divieto di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assunzione e somministrazione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di bevande alcoliche e superalcoliche nelle attività a rischio; i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controlli alcolimetrici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nei luoghi di lavoro sono effettuabili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solo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da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medico competente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medici dei servizi ASL/SPISAL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con funzioni di vigilanza.</w:t>
            </w:r>
          </w:p>
        </w:tc>
        <w:tc>
          <w:tcPr>
            <w:tcW w:w="0" w:type="auto"/>
            <w:hideMark/>
          </w:tcPr>
          <w:p w14:paraId="4E83E9D6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Lavoratori addetti ad attività individuate come “ad elevato rischio” (elencate da Intesa/Provvedimento).</w:t>
            </w:r>
          </w:p>
        </w:tc>
        <w:tc>
          <w:tcPr>
            <w:tcW w:w="0" w:type="auto"/>
            <w:hideMark/>
          </w:tcPr>
          <w:p w14:paraId="35AEA0B1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L. 30/03/2001 n. 125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art. 15.</w:t>
            </w:r>
          </w:p>
        </w:tc>
      </w:tr>
      <w:tr w:rsidR="002D6268" w:rsidRPr="00E93EB4" w14:paraId="772E9800" w14:textId="77777777" w:rsidTr="00E93EB4">
        <w:tc>
          <w:tcPr>
            <w:tcW w:w="0" w:type="auto"/>
            <w:hideMark/>
          </w:tcPr>
          <w:p w14:paraId="41F0015B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attività a rischio (alcol)</w:t>
            </w:r>
          </w:p>
        </w:tc>
        <w:tc>
          <w:tcPr>
            <w:tcW w:w="0" w:type="auto"/>
            <w:hideMark/>
          </w:tcPr>
          <w:p w14:paraId="2F70D21B" w14:textId="6B1C1DC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Individua l’elenco delle attività per cui si applica il divieto ex art. 15 L.125/2001 (allegato con mansioni/attività).</w:t>
            </w:r>
          </w:p>
        </w:tc>
        <w:tc>
          <w:tcPr>
            <w:tcW w:w="0" w:type="auto"/>
            <w:hideMark/>
          </w:tcPr>
          <w:p w14:paraId="16392BAE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Imprese e lavoratori rientranti nell’elenco.</w:t>
            </w:r>
          </w:p>
        </w:tc>
        <w:tc>
          <w:tcPr>
            <w:tcW w:w="0" w:type="auto"/>
            <w:hideMark/>
          </w:tcPr>
          <w:p w14:paraId="2A4D6BD5" w14:textId="2C09686B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Provvedimento 16/03/2006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(Intesa CSR),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Rep. Atti n. 2540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GU n. 75 del 30/03/2006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</w:t>
            </w:r>
          </w:p>
        </w:tc>
      </w:tr>
      <w:tr w:rsidR="002D6268" w:rsidRPr="00E93EB4" w14:paraId="3462D361" w14:textId="77777777" w:rsidTr="00E93EB4">
        <w:tc>
          <w:tcPr>
            <w:tcW w:w="0" w:type="auto"/>
            <w:hideMark/>
          </w:tcPr>
          <w:p w14:paraId="518A3F18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alcol in cantieri e lavori in quota</w:t>
            </w:r>
          </w:p>
        </w:tc>
        <w:tc>
          <w:tcPr>
            <w:tcW w:w="0" w:type="auto"/>
            <w:hideMark/>
          </w:tcPr>
          <w:p w14:paraId="3FA368BD" w14:textId="4D70A145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Obbligo del datore di lavoro di disporre il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divieto di assumere e somministrare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bevande alcoliche e superalcoliche per lavoratori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 cantieri temporanei e mobili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lavori in quota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</w:t>
            </w:r>
          </w:p>
        </w:tc>
        <w:tc>
          <w:tcPr>
            <w:tcW w:w="0" w:type="auto"/>
            <w:hideMark/>
          </w:tcPr>
          <w:p w14:paraId="7AF5FF83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Lavoratori impiegati in cantieri temporanei e mobili e/o lavori in quota (Titolo IV).</w:t>
            </w:r>
          </w:p>
        </w:tc>
        <w:tc>
          <w:tcPr>
            <w:tcW w:w="0" w:type="auto"/>
            <w:hideMark/>
          </w:tcPr>
          <w:p w14:paraId="4A583129" w14:textId="585A7C72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art. 111, comma 8. </w:t>
            </w:r>
          </w:p>
        </w:tc>
      </w:tr>
      <w:tr w:rsidR="002D6268" w:rsidRPr="00E93EB4" w14:paraId="78F74A81" w14:textId="77777777" w:rsidTr="00E93EB4">
        <w:tc>
          <w:tcPr>
            <w:tcW w:w="0" w:type="auto"/>
            <w:hideMark/>
          </w:tcPr>
          <w:p w14:paraId="4E53EFC7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 “droghe” – accertamenti per mansioni a rischio</w:t>
            </w:r>
          </w:p>
        </w:tc>
        <w:tc>
          <w:tcPr>
            <w:tcW w:w="0" w:type="auto"/>
            <w:hideMark/>
          </w:tcPr>
          <w:p w14:paraId="05228056" w14:textId="77100E90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Prevede accertamenti di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assenza di tossicodipendenza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lavoratori destinati a mansioni che comportano rischi per sicurezza/incolumità/salute di terzi; accertamenti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 cura di strutture pubbliche SSN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 spese del datore di lavoro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prima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dell’adibizione e poi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periodicamente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17A20AF5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Solo per categorie/mansioni a rischio individuate dal sistema (Intese/Accordi; elenco mansioni).</w:t>
            </w:r>
          </w:p>
        </w:tc>
        <w:tc>
          <w:tcPr>
            <w:tcW w:w="0" w:type="auto"/>
            <w:hideMark/>
          </w:tcPr>
          <w:p w14:paraId="3E8B16D2" w14:textId="6D21442C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DPR 309/1990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art. 125.)</w:t>
            </w:r>
          </w:p>
        </w:tc>
      </w:tr>
      <w:tr w:rsidR="002D6268" w:rsidRPr="00E93EB4" w14:paraId="1DEE15C7" w14:textId="77777777" w:rsidTr="00E93EB4">
        <w:tc>
          <w:tcPr>
            <w:tcW w:w="0" w:type="auto"/>
            <w:hideMark/>
          </w:tcPr>
          <w:p w14:paraId="41F23D5C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Mansioni a rischio (droghe) – elenco e principi</w:t>
            </w:r>
          </w:p>
        </w:tc>
        <w:tc>
          <w:tcPr>
            <w:tcW w:w="0" w:type="auto"/>
            <w:hideMark/>
          </w:tcPr>
          <w:p w14:paraId="0528CE10" w14:textId="5EB0B1AF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Definisce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mansioni a rischio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impianto di “accertamento di assenza di tossicodipendenza” (con allegato mansioni).</w:t>
            </w:r>
          </w:p>
        </w:tc>
        <w:tc>
          <w:tcPr>
            <w:tcW w:w="0" w:type="auto"/>
            <w:hideMark/>
          </w:tcPr>
          <w:p w14:paraId="0975F4E9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Lavoratori addetti a mansioni ricomprese nell’allegato dell’Intesa.</w:t>
            </w:r>
          </w:p>
        </w:tc>
        <w:tc>
          <w:tcPr>
            <w:tcW w:w="0" w:type="auto"/>
            <w:hideMark/>
          </w:tcPr>
          <w:p w14:paraId="0D4151DC" w14:textId="30413CFA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Provvedimento 30/10/2007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(Intesa),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Rep. Atti n. 99/CU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GU n. 266 del 15/11/2007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</w:t>
            </w:r>
          </w:p>
        </w:tc>
      </w:tr>
      <w:tr w:rsidR="002D6268" w:rsidRPr="00E93EB4" w14:paraId="020C4DB7" w14:textId="77777777" w:rsidTr="00E93EB4">
        <w:tc>
          <w:tcPr>
            <w:tcW w:w="0" w:type="auto"/>
            <w:hideMark/>
          </w:tcPr>
          <w:p w14:paraId="51C63741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operative di accertamento (droghe)</w:t>
            </w:r>
          </w:p>
        </w:tc>
        <w:tc>
          <w:tcPr>
            <w:tcW w:w="0" w:type="auto"/>
            <w:hideMark/>
          </w:tcPr>
          <w:p w14:paraId="3C4288C9" w14:textId="2203D79A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Adotta le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accertamenti sanitari di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assenza di tossicodipendenza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assunzione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di sostanze stupefacenti/psicotrope per lavoratori in mansioni a rischio (screening, conferme, garanzie procedurali).</w:t>
            </w:r>
          </w:p>
        </w:tc>
        <w:tc>
          <w:tcPr>
            <w:tcW w:w="0" w:type="auto"/>
            <w:hideMark/>
          </w:tcPr>
          <w:p w14:paraId="5F866E7E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Lavoratori addetti a mansioni a rischio (collegate all’Intesa 30/10/2007).</w:t>
            </w:r>
          </w:p>
        </w:tc>
        <w:tc>
          <w:tcPr>
            <w:tcW w:w="0" w:type="auto"/>
            <w:hideMark/>
          </w:tcPr>
          <w:p w14:paraId="4349D20E" w14:textId="27C009FB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Provvedimento 18/09/2008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(Accordo CSR),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Rep. Atti n. 178/CSR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GU n. 236 del 08/10/2008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2D6268" w:rsidRPr="00E93EB4" w14:paraId="6D6FEFE3" w14:textId="77777777" w:rsidTr="00E93EB4">
        <w:tc>
          <w:tcPr>
            <w:tcW w:w="0" w:type="auto"/>
            <w:hideMark/>
          </w:tcPr>
          <w:p w14:paraId="2D0E04CD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Limiti “alcol” in senso lavoristico (logica di idoneità)</w:t>
            </w:r>
          </w:p>
        </w:tc>
        <w:tc>
          <w:tcPr>
            <w:tcW w:w="0" w:type="auto"/>
            <w:hideMark/>
          </w:tcPr>
          <w:p w14:paraId="0DDB0378" w14:textId="3BD22A7B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Il sistema è basato su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divieto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(per attività a rischio) e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idoneità alla mansione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non su un “limite di legge unico” tipo Codice della Strada; il controllo è atto sanitario e confluisce nella gestione di 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idoneità/temporanea non idoneità.</w:t>
            </w:r>
          </w:p>
        </w:tc>
        <w:tc>
          <w:tcPr>
            <w:tcW w:w="0" w:type="auto"/>
            <w:hideMark/>
          </w:tcPr>
          <w:p w14:paraId="2620D8A7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Attività a rischio (Intesa 2006) e contesti con specifiche previsioni (es. lavori in quota).</w:t>
            </w:r>
          </w:p>
        </w:tc>
        <w:tc>
          <w:tcPr>
            <w:tcW w:w="0" w:type="auto"/>
            <w:hideMark/>
          </w:tcPr>
          <w:p w14:paraId="55245223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L. 125/2001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art. 15; </w:t>
            </w:r>
            <w:proofErr w:type="spellStart"/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art. 111 c.8.</w:t>
            </w:r>
          </w:p>
        </w:tc>
      </w:tr>
      <w:tr w:rsidR="002D6268" w:rsidRPr="00E93EB4" w14:paraId="2835E9B4" w14:textId="77777777" w:rsidTr="00E93EB4">
        <w:tc>
          <w:tcPr>
            <w:tcW w:w="0" w:type="auto"/>
            <w:hideMark/>
          </w:tcPr>
          <w:p w14:paraId="7A52DC3C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Statuto dei lavoratori: limiti ai controlli “diretti” del datore</w:t>
            </w:r>
          </w:p>
        </w:tc>
        <w:tc>
          <w:tcPr>
            <w:tcW w:w="0" w:type="auto"/>
            <w:hideMark/>
          </w:tcPr>
          <w:p w14:paraId="57D7E4E7" w14:textId="132FD1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Vietati accertamenti “da parte del datore” su idoneità/infermità; il datore può far controllare l’idoneità fisica tramite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enti pubblici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istituti specializzati di diritto pubblico.</w:t>
            </w:r>
          </w:p>
        </w:tc>
        <w:tc>
          <w:tcPr>
            <w:tcW w:w="0" w:type="auto"/>
            <w:hideMark/>
          </w:tcPr>
          <w:p w14:paraId="10755C8B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i rapporti di lavoro subordinato (regola generale).</w:t>
            </w:r>
          </w:p>
        </w:tc>
        <w:tc>
          <w:tcPr>
            <w:tcW w:w="0" w:type="auto"/>
            <w:hideMark/>
          </w:tcPr>
          <w:p w14:paraId="016C062F" w14:textId="5A69F5A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L. 20/05/1970 n. 300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art. 5.</w:t>
            </w:r>
          </w:p>
        </w:tc>
      </w:tr>
      <w:tr w:rsidR="002D6268" w:rsidRPr="00E93EB4" w14:paraId="780CDD29" w14:textId="77777777" w:rsidTr="00E93EB4">
        <w:tc>
          <w:tcPr>
            <w:tcW w:w="0" w:type="auto"/>
            <w:hideMark/>
          </w:tcPr>
          <w:p w14:paraId="375373D0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sanitaria: cornice generale</w:t>
            </w:r>
          </w:p>
        </w:tc>
        <w:tc>
          <w:tcPr>
            <w:tcW w:w="0" w:type="auto"/>
            <w:hideMark/>
          </w:tcPr>
          <w:p w14:paraId="178EB43D" w14:textId="4A22141B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Definisce la sorveglianza sanitaria (visite preventive/periodiche ecc.) effettuata dal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medico competente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58A556D5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Quando prevista dai rischi/valutazione, normative specifiche e protocollo sanitario.</w:t>
            </w:r>
          </w:p>
        </w:tc>
        <w:tc>
          <w:tcPr>
            <w:tcW w:w="0" w:type="auto"/>
            <w:hideMark/>
          </w:tcPr>
          <w:p w14:paraId="5A011EF1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art. 41 (testo vigente).</w:t>
            </w:r>
          </w:p>
        </w:tc>
      </w:tr>
      <w:tr w:rsidR="002D6268" w:rsidRPr="00E93EB4" w14:paraId="7BF1A1CE" w14:textId="77777777" w:rsidTr="00E93EB4">
        <w:tc>
          <w:tcPr>
            <w:tcW w:w="0" w:type="auto"/>
            <w:hideMark/>
          </w:tcPr>
          <w:p w14:paraId="208D7764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Ruolo del medico competente (obblighi e gestione dati sanitari)</w:t>
            </w:r>
          </w:p>
        </w:tc>
        <w:tc>
          <w:tcPr>
            <w:tcW w:w="0" w:type="auto"/>
            <w:hideMark/>
          </w:tcPr>
          <w:p w14:paraId="6E29F6CA" w14:textId="3E02DD80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Obblighi del medico competente: collaborazione alla valutazione rischi, protocolli, istituzione e custodia cartella sanitaria con segreto professionale, ecc.</w:t>
            </w:r>
          </w:p>
        </w:tc>
        <w:tc>
          <w:tcPr>
            <w:tcW w:w="0" w:type="auto"/>
            <w:hideMark/>
          </w:tcPr>
          <w:p w14:paraId="5AED9DD0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Aziende in cui è nominato MC e si applica sorveglianza sanitaria.</w:t>
            </w:r>
          </w:p>
        </w:tc>
        <w:tc>
          <w:tcPr>
            <w:tcW w:w="0" w:type="auto"/>
            <w:hideMark/>
          </w:tcPr>
          <w:p w14:paraId="68CC2D45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81/2008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art. 25.</w:t>
            </w:r>
          </w:p>
        </w:tc>
      </w:tr>
      <w:tr w:rsidR="002D6268" w:rsidRPr="00E93EB4" w14:paraId="49EF1A09" w14:textId="77777777" w:rsidTr="00E93EB4">
        <w:tc>
          <w:tcPr>
            <w:tcW w:w="0" w:type="auto"/>
            <w:hideMark/>
          </w:tcPr>
          <w:p w14:paraId="7FD951B2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“Indirizzi” / Accordo CSR 13/07/2017 – unificazione elenchi</w:t>
            </w:r>
          </w:p>
        </w:tc>
        <w:tc>
          <w:tcPr>
            <w:tcW w:w="0" w:type="auto"/>
            <w:hideMark/>
          </w:tcPr>
          <w:p w14:paraId="4F200F3A" w14:textId="665573C9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Propone di sostituire gli allegati “alcol” (2006) e “droghe” (2007) con un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unico Allegato A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(attività ad elevato pericolo).</w:t>
            </w:r>
          </w:p>
        </w:tc>
        <w:tc>
          <w:tcPr>
            <w:tcW w:w="0" w:type="auto"/>
            <w:hideMark/>
          </w:tcPr>
          <w:p w14:paraId="1BF4FDC3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Modello tecnico/organizzativo per attività ad elevato pericolo (allegato A del documento).</w:t>
            </w:r>
          </w:p>
        </w:tc>
        <w:tc>
          <w:tcPr>
            <w:tcW w:w="0" w:type="auto"/>
            <w:hideMark/>
          </w:tcPr>
          <w:p w14:paraId="20B7E594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“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Indirizzi per la prevenzione di infortuni gravi e mortali…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” (CSR 13/07/2017).</w:t>
            </w:r>
          </w:p>
        </w:tc>
      </w:tr>
      <w:tr w:rsidR="002D6268" w:rsidRPr="00E93EB4" w14:paraId="5D0B0F91" w14:textId="77777777" w:rsidTr="00E93EB4">
        <w:tc>
          <w:tcPr>
            <w:tcW w:w="0" w:type="auto"/>
            <w:hideMark/>
          </w:tcPr>
          <w:p w14:paraId="74C698BE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“Indirizzi” 13/07/2017 – misure del datore e “soglie operative”</w:t>
            </w:r>
          </w:p>
        </w:tc>
        <w:tc>
          <w:tcPr>
            <w:tcW w:w="0" w:type="auto"/>
            <w:hideMark/>
          </w:tcPr>
          <w:p w14:paraId="01DEAA30" w14:textId="19BFE841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Prevede non accettazione al turno se giudicato temporaneamente non idoneo con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alcolemia stimabile &gt;0 durante il turno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&gt;0,2 g/L entro un’ora dall’inizio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oltre a presenza ematica rilevabile di sostanze/metaboliti attivi.</w:t>
            </w:r>
          </w:p>
        </w:tc>
        <w:tc>
          <w:tcPr>
            <w:tcW w:w="0" w:type="auto"/>
            <w:hideMark/>
          </w:tcPr>
          <w:p w14:paraId="56339BF9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Lavoratori in attività dell’Allegato A (secondo il documento).</w:t>
            </w:r>
          </w:p>
        </w:tc>
        <w:tc>
          <w:tcPr>
            <w:tcW w:w="0" w:type="auto"/>
            <w:hideMark/>
          </w:tcPr>
          <w:p w14:paraId="14F38391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“Indirizzi…” CSR 13/07/2017.</w:t>
            </w:r>
          </w:p>
        </w:tc>
      </w:tr>
      <w:tr w:rsidR="002D6268" w:rsidRPr="00E93EB4" w14:paraId="4F60BD9B" w14:textId="77777777" w:rsidTr="00E93EB4">
        <w:tc>
          <w:tcPr>
            <w:tcW w:w="0" w:type="auto"/>
            <w:hideMark/>
          </w:tcPr>
          <w:p w14:paraId="0C6108DE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“Indirizzi” 13/07/2017 – test rapidi (screening) e percentuale campionamento</w:t>
            </w:r>
          </w:p>
        </w:tc>
        <w:tc>
          <w:tcPr>
            <w:tcW w:w="0" w:type="auto"/>
            <w:hideMark/>
          </w:tcPr>
          <w:p w14:paraId="019DE24D" w14:textId="4992C3BF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Screening “a sorpresa” con test in commercio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CE medicale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 almeno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20% annuo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dei lavoratori in Allegato A, con criteri di casualità e senza preavviso.</w:t>
            </w:r>
          </w:p>
        </w:tc>
        <w:tc>
          <w:tcPr>
            <w:tcW w:w="0" w:type="auto"/>
            <w:hideMark/>
          </w:tcPr>
          <w:p w14:paraId="20FF598C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Lavoratori in attività Allegato A (modello 2017).</w:t>
            </w:r>
          </w:p>
        </w:tc>
        <w:tc>
          <w:tcPr>
            <w:tcW w:w="0" w:type="auto"/>
            <w:hideMark/>
          </w:tcPr>
          <w:p w14:paraId="7F1B24D3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“Indirizzi…” CSR 13/07/2017.</w:t>
            </w:r>
          </w:p>
        </w:tc>
      </w:tr>
      <w:tr w:rsidR="002D6268" w:rsidRPr="00E93EB4" w14:paraId="285821E1" w14:textId="77777777" w:rsidTr="00E93EB4">
        <w:tc>
          <w:tcPr>
            <w:tcW w:w="0" w:type="auto"/>
            <w:hideMark/>
          </w:tcPr>
          <w:p w14:paraId="4D56CAC9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“Indirizzi” 13/07/2017 – matrici “di elezione”</w:t>
            </w:r>
          </w:p>
        </w:tc>
        <w:tc>
          <w:tcPr>
            <w:tcW w:w="0" w:type="auto"/>
            <w:hideMark/>
          </w:tcPr>
          <w:p w14:paraId="15AE54F1" w14:textId="3AC7A455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Matrice di elezione per alcol: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aria espirata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per droghe: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fluido orale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5BFD65CF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Screening (primo livello) nel modello 2017.</w:t>
            </w:r>
          </w:p>
        </w:tc>
        <w:tc>
          <w:tcPr>
            <w:tcW w:w="0" w:type="auto"/>
            <w:hideMark/>
          </w:tcPr>
          <w:p w14:paraId="2337A23F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“Indirizzi…” CSR 13/07/2017.</w:t>
            </w:r>
          </w:p>
        </w:tc>
      </w:tr>
      <w:tr w:rsidR="002D6268" w:rsidRPr="00E93EB4" w14:paraId="632C9ED4" w14:textId="77777777" w:rsidTr="00E93EB4">
        <w:tc>
          <w:tcPr>
            <w:tcW w:w="0" w:type="auto"/>
            <w:hideMark/>
          </w:tcPr>
          <w:p w14:paraId="58188A28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“Indirizzi” 13/07/2017 – valore e limiti dei test rapidi</w:t>
            </w:r>
          </w:p>
        </w:tc>
        <w:tc>
          <w:tcPr>
            <w:tcW w:w="0" w:type="auto"/>
            <w:hideMark/>
          </w:tcPr>
          <w:p w14:paraId="4078FD11" w14:textId="243B8129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Ricorda che i test rapidi hanno alta sensibilità/bassa specificità: positività non “prova certa” senza conferma; negatività utile per escludere assunzione (supporto orientativo al giudizio).</w:t>
            </w:r>
          </w:p>
        </w:tc>
        <w:tc>
          <w:tcPr>
            <w:tcW w:w="0" w:type="auto"/>
            <w:hideMark/>
          </w:tcPr>
          <w:p w14:paraId="7C915B86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Uso in sorveglianza sanitaria/giudizio di idoneità, con necessità di conferme secondo procedure.</w:t>
            </w:r>
          </w:p>
        </w:tc>
        <w:tc>
          <w:tcPr>
            <w:tcW w:w="0" w:type="auto"/>
            <w:hideMark/>
          </w:tcPr>
          <w:p w14:paraId="6F712886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“Indirizzi…” CSR 13/07/2017; raccordo con Accordo 18/09/2008.</w:t>
            </w:r>
          </w:p>
        </w:tc>
      </w:tr>
      <w:tr w:rsidR="002D6268" w:rsidRPr="00E93EB4" w14:paraId="557ECD2B" w14:textId="77777777" w:rsidTr="00E93EB4">
        <w:tc>
          <w:tcPr>
            <w:tcW w:w="0" w:type="auto"/>
            <w:hideMark/>
          </w:tcPr>
          <w:p w14:paraId="41D6187C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D.L. 159/2025 </w:t>
            </w:r>
            <w:proofErr w:type="spellStart"/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conv</w:t>
            </w:r>
            <w:proofErr w:type="spellEnd"/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 L. 198/2025 – nuova visita “e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noBreakHyphen/>
              <w:t>quater” (ragionevole motivo)</w:t>
            </w:r>
          </w:p>
        </w:tc>
        <w:tc>
          <w:tcPr>
            <w:tcW w:w="0" w:type="auto"/>
            <w:hideMark/>
          </w:tcPr>
          <w:p w14:paraId="4D763559" w14:textId="5DA5476C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Introduce una visita medica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prima o durante il turno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in presenza di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ragionevole motivo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ritenere il lavoratore sotto l’effetto di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alcol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sostanze stupefacenti/psicotrope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per attività ad elevato rischio (richiamo a L.125 art.15 e DPR 309 art.125).</w:t>
            </w:r>
          </w:p>
        </w:tc>
        <w:tc>
          <w:tcPr>
            <w:tcW w:w="0" w:type="auto"/>
            <w:hideMark/>
          </w:tcPr>
          <w:p w14:paraId="4AE96B2D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ad elevato rischio infortuni (perimetro richiamato dalle norme).</w:t>
            </w:r>
          </w:p>
        </w:tc>
        <w:tc>
          <w:tcPr>
            <w:tcW w:w="0" w:type="auto"/>
            <w:hideMark/>
          </w:tcPr>
          <w:p w14:paraId="77C18100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Testo coordinato D.L. 159/2025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(GU 30/12/2025), art. 17, lett. d) (modifiche art. 41 </w:t>
            </w:r>
            <w:proofErr w:type="spellStart"/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</w:t>
            </w:r>
            <w:proofErr w:type="spellEnd"/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81/2008).</w:t>
            </w:r>
          </w:p>
        </w:tc>
      </w:tr>
      <w:tr w:rsidR="002D6268" w:rsidRPr="00E93EB4" w14:paraId="3CC0B768" w14:textId="77777777" w:rsidTr="00E93EB4">
        <w:tc>
          <w:tcPr>
            <w:tcW w:w="0" w:type="auto"/>
            <w:hideMark/>
          </w:tcPr>
          <w:p w14:paraId="7C91C14F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D.L. 159/2025 </w:t>
            </w:r>
            <w:proofErr w:type="spellStart"/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conv</w:t>
            </w:r>
            <w:proofErr w:type="spellEnd"/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 L. 198/2025 – revisione accordi entro 31/12/2026</w:t>
            </w:r>
          </w:p>
        </w:tc>
        <w:tc>
          <w:tcPr>
            <w:tcW w:w="0" w:type="auto"/>
            <w:hideMark/>
          </w:tcPr>
          <w:p w14:paraId="7EB1F9F8" w14:textId="4C40CA9F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Sostituisce il comma 4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noBreakHyphen/>
              <w:t xml:space="preserve">bis dell’art. 41: entro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31 dicembre 2026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accordo in CSR (previa consultazione parti sociali) per rivisitare condizioni e modalità di accertamento di tossicodipendenza e alcol dipendenza. </w:t>
            </w:r>
          </w:p>
        </w:tc>
        <w:tc>
          <w:tcPr>
            <w:tcW w:w="0" w:type="auto"/>
            <w:hideMark/>
          </w:tcPr>
          <w:p w14:paraId="0CCF8C1E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Quadro nazionale di riferimento (aggiornamento atteso su condizioni/modalità e coordinamento).</w:t>
            </w:r>
          </w:p>
        </w:tc>
        <w:tc>
          <w:tcPr>
            <w:tcW w:w="0" w:type="auto"/>
            <w:hideMark/>
          </w:tcPr>
          <w:p w14:paraId="113F1977" w14:textId="4C704629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Testo coordinato D.L. 159/2025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(GU 30/12/2025), modifica art. 41, comma 4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noBreakHyphen/>
              <w:t>bis.</w:t>
            </w:r>
          </w:p>
        </w:tc>
      </w:tr>
      <w:tr w:rsidR="002D6268" w:rsidRPr="00E93EB4" w14:paraId="3688867B" w14:textId="77777777" w:rsidTr="00E93EB4">
        <w:tc>
          <w:tcPr>
            <w:tcW w:w="0" w:type="auto"/>
            <w:hideMark/>
          </w:tcPr>
          <w:p w14:paraId="4848EE11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Protezione dati e riservatezza (dati sanitari)</w:t>
            </w:r>
          </w:p>
        </w:tc>
        <w:tc>
          <w:tcPr>
            <w:tcW w:w="0" w:type="auto"/>
            <w:hideMark/>
          </w:tcPr>
          <w:p w14:paraId="30E1E17C" w14:textId="53DD505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Dati su alcol/droghe e idoneità rientrano nel perimetro dei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dati relativi alla salute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(categorie particolari): trattamento ammesso solo con basi giuridiche adeguate, misure di tutela e segreto professionale. </w:t>
            </w:r>
          </w:p>
        </w:tc>
        <w:tc>
          <w:tcPr>
            <w:tcW w:w="0" w:type="auto"/>
            <w:hideMark/>
          </w:tcPr>
          <w:p w14:paraId="64942DAF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Tutte le organizzazioni che trattano esiti sanitari/giudizi di idoneità (MC, azienda, strutture).</w:t>
            </w:r>
          </w:p>
        </w:tc>
        <w:tc>
          <w:tcPr>
            <w:tcW w:w="0" w:type="auto"/>
            <w:hideMark/>
          </w:tcPr>
          <w:p w14:paraId="23A97209" w14:textId="41DA6986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GDPR Reg. (UE) 2016/679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art. 9. </w:t>
            </w:r>
          </w:p>
        </w:tc>
      </w:tr>
      <w:tr w:rsidR="002D6268" w:rsidRPr="00E93EB4" w14:paraId="299B0A2F" w14:textId="77777777" w:rsidTr="00E93EB4">
        <w:tc>
          <w:tcPr>
            <w:tcW w:w="0" w:type="auto"/>
            <w:hideMark/>
          </w:tcPr>
          <w:p w14:paraId="2E9BF3E7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Codice Privacy italiano (coordinato GDPR)</w:t>
            </w:r>
          </w:p>
        </w:tc>
        <w:tc>
          <w:tcPr>
            <w:tcW w:w="0" w:type="auto"/>
            <w:hideMark/>
          </w:tcPr>
          <w:p w14:paraId="2FE8A8E1" w14:textId="38B7A654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Regole nazionali di raccordo al GDPR per trattamento dati personali (inclusi dati sanitari) e rinvio alle previsioni del Regolamento UE. </w:t>
            </w:r>
          </w:p>
        </w:tc>
        <w:tc>
          <w:tcPr>
            <w:tcW w:w="0" w:type="auto"/>
            <w:hideMark/>
          </w:tcPr>
          <w:p w14:paraId="0BA38FEA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Datori di lavoro, MC, strutture sanitarie, fornitori.</w:t>
            </w:r>
          </w:p>
        </w:tc>
        <w:tc>
          <w:tcPr>
            <w:tcW w:w="0" w:type="auto"/>
            <w:hideMark/>
          </w:tcPr>
          <w:p w14:paraId="1CD4C51F" w14:textId="13E58C2B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196/2003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(Codice Privacy, testo coordinato). </w:t>
            </w:r>
          </w:p>
        </w:tc>
      </w:tr>
      <w:tr w:rsidR="002D6268" w:rsidRPr="00E93EB4" w14:paraId="75DD2F55" w14:textId="77777777" w:rsidTr="00E93EB4">
        <w:tc>
          <w:tcPr>
            <w:tcW w:w="0" w:type="auto"/>
            <w:hideMark/>
          </w:tcPr>
          <w:p w14:paraId="3BE27156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Garante Privacy – no a controlli generalizzati</w:t>
            </w:r>
          </w:p>
        </w:tc>
        <w:tc>
          <w:tcPr>
            <w:tcW w:w="0" w:type="auto"/>
            <w:hideMark/>
          </w:tcPr>
          <w:p w14:paraId="7922B5EC" w14:textId="2F1C98BC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Il Garante richiama la necessità di evitare </w:t>
            </w:r>
            <w:r w:rsidRPr="00E93E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accertamenti generalizzati</w:t>
            </w: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di rispettare pertinenza, proporzionalità e presupposti normativi nei controlli su tossicodipendenza. </w:t>
            </w:r>
          </w:p>
        </w:tc>
        <w:tc>
          <w:tcPr>
            <w:tcW w:w="0" w:type="auto"/>
            <w:hideMark/>
          </w:tcPr>
          <w:p w14:paraId="43AA1C17" w14:textId="77777777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Imprese e strutture sanitarie coinvolte in accertamenti (specie in assenza di presupposti).</w:t>
            </w:r>
          </w:p>
        </w:tc>
        <w:tc>
          <w:tcPr>
            <w:tcW w:w="0" w:type="auto"/>
            <w:hideMark/>
          </w:tcPr>
          <w:p w14:paraId="700473D9" w14:textId="785A35A8" w:rsidR="002D6268" w:rsidRPr="00E93EB4" w:rsidRDefault="002D6268" w:rsidP="00E93EB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93E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Provvedimenti/Comunicazioni Garante su accertamenti tossicodipendenza in ambito lavorativo. </w:t>
            </w:r>
          </w:p>
        </w:tc>
      </w:tr>
    </w:tbl>
    <w:p w14:paraId="486F1B71" w14:textId="77777777" w:rsidR="00E93EB4" w:rsidRDefault="00E93EB4" w:rsidP="00E93EB4"/>
    <w:p w14:paraId="5EC09248" w14:textId="6779D862" w:rsidR="00336AF8" w:rsidRPr="00E93EB4" w:rsidRDefault="00E93EB4" w:rsidP="00E93EB4">
      <w:r>
        <w:t>Nota: dove cito “Accordo/Intesa CSR 13/07/2017” mi riferisco al documento “Indirizzi…” spesso richiamato come schema di Intesa/Accordo (test rapidi aria espirata/saliva, Allegato A, ecc.).</w:t>
      </w:r>
    </w:p>
    <w:sectPr w:rsidR="00336AF8" w:rsidRPr="00E93EB4" w:rsidSect="00E93EB4">
      <w:headerReference w:type="default" r:id="rId6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A5FD8" w14:textId="77777777" w:rsidR="008E2950" w:rsidRDefault="008E2950" w:rsidP="00E93EB4">
      <w:pPr>
        <w:spacing w:after="0" w:line="240" w:lineRule="auto"/>
      </w:pPr>
      <w:r>
        <w:separator/>
      </w:r>
    </w:p>
  </w:endnote>
  <w:endnote w:type="continuationSeparator" w:id="0">
    <w:p w14:paraId="008F934B" w14:textId="77777777" w:rsidR="008E2950" w:rsidRDefault="008E2950" w:rsidP="00E93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FFEAA" w14:textId="77777777" w:rsidR="008E2950" w:rsidRDefault="008E2950" w:rsidP="00E93EB4">
      <w:pPr>
        <w:spacing w:after="0" w:line="240" w:lineRule="auto"/>
      </w:pPr>
      <w:r>
        <w:separator/>
      </w:r>
    </w:p>
  </w:footnote>
  <w:footnote w:type="continuationSeparator" w:id="0">
    <w:p w14:paraId="4A3329AA" w14:textId="77777777" w:rsidR="008E2950" w:rsidRDefault="008E2950" w:rsidP="00E93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F364C" w14:textId="7E9A397D" w:rsidR="00E93EB4" w:rsidRDefault="00E93EB4">
    <w:pPr>
      <w:pStyle w:val="Intestazione"/>
    </w:pPr>
    <w:r>
      <w:rPr>
        <w:rStyle w:val="Enfasigrassetto"/>
      </w:rPr>
      <w:t>tabella riepilogativa completa</w:t>
    </w:r>
    <w:r>
      <w:t xml:space="preserve"> su </w:t>
    </w:r>
    <w:r>
      <w:rPr>
        <w:rStyle w:val="Enfasigrassetto"/>
      </w:rPr>
      <w:t>alcol, stupefacenti e controlli in ambito lavorativo</w:t>
    </w:r>
    <w:r>
      <w:t xml:space="preserve">, con </w:t>
    </w:r>
    <w:r>
      <w:rPr>
        <w:rStyle w:val="Enfasigrassetto"/>
      </w:rPr>
      <w:t>descrizione</w:t>
    </w:r>
    <w:r>
      <w:t xml:space="preserve"> e </w:t>
    </w:r>
    <w:r>
      <w:rPr>
        <w:rStyle w:val="Enfasigrassetto"/>
      </w:rPr>
      <w:t>riferimenti normativi</w:t>
    </w:r>
    <w: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EB4"/>
    <w:rsid w:val="002D6268"/>
    <w:rsid w:val="00336AF8"/>
    <w:rsid w:val="008E2950"/>
    <w:rsid w:val="00C15881"/>
    <w:rsid w:val="00D078F3"/>
    <w:rsid w:val="00DE7F3B"/>
    <w:rsid w:val="00E93EB4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FF79B"/>
  <w15:chartTrackingRefBased/>
  <w15:docId w15:val="{4DE2D750-C9F4-4428-9817-4095AA4E0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93E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3E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3E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3E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3E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3E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3E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3E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3E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3E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3E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3E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3E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3E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3E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3E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3E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3E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3E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93E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3E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3E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93E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3E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93E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93EB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3E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3E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93EB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93E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3EB4"/>
  </w:style>
  <w:style w:type="paragraph" w:styleId="Pidipagina">
    <w:name w:val="footer"/>
    <w:basedOn w:val="Normale"/>
    <w:link w:val="PidipaginaCarattere"/>
    <w:uiPriority w:val="99"/>
    <w:unhideWhenUsed/>
    <w:rsid w:val="00E93E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3EB4"/>
  </w:style>
  <w:style w:type="character" w:styleId="Enfasigrassetto">
    <w:name w:val="Strong"/>
    <w:basedOn w:val="Carpredefinitoparagrafo"/>
    <w:uiPriority w:val="22"/>
    <w:qFormat/>
    <w:rsid w:val="00E93EB4"/>
    <w:rPr>
      <w:b/>
      <w:bCs/>
    </w:rPr>
  </w:style>
  <w:style w:type="table" w:styleId="Grigliatabella">
    <w:name w:val="Table Grid"/>
    <w:basedOn w:val="Tabellanormale"/>
    <w:uiPriority w:val="39"/>
    <w:rsid w:val="00E93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1021</Words>
  <Characters>6649</Characters>
  <Application>Microsoft Office Word</Application>
  <DocSecurity>0</DocSecurity>
  <Lines>391</Lines>
  <Paragraphs>93</Paragraphs>
  <ScaleCrop>false</ScaleCrop>
  <Company/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2026-01-08T13:38:00Z</dcterms:created>
  <dcterms:modified xsi:type="dcterms:W3CDTF">2026-01-08T13:42:00Z</dcterms:modified>
</cp:coreProperties>
</file>