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DBCF3" w14:textId="4E2B0298" w:rsidR="00336AF8" w:rsidRPr="00577636" w:rsidRDefault="00577636">
      <w:pPr>
        <w:rPr>
          <w:b/>
          <w:bCs/>
        </w:rPr>
      </w:pPr>
      <w:r w:rsidRPr="00577636">
        <w:rPr>
          <w:b/>
          <w:bCs/>
        </w:rPr>
        <w:t>TABELLA DI RIEPILOGO CIRCOLARE INL 1/2026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60"/>
        <w:gridCol w:w="6692"/>
        <w:gridCol w:w="5451"/>
      </w:tblGrid>
      <w:tr w:rsidR="00577636" w:rsidRPr="00577636" w14:paraId="02A9A811" w14:textId="77777777" w:rsidTr="00577636">
        <w:tc>
          <w:tcPr>
            <w:tcW w:w="0" w:type="auto"/>
            <w:hideMark/>
          </w:tcPr>
          <w:p w14:paraId="3754F5B4" w14:textId="77777777" w:rsidR="00577636" w:rsidRPr="00577636" w:rsidRDefault="00577636" w:rsidP="00577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Tema / Ambito</w:t>
            </w:r>
          </w:p>
        </w:tc>
        <w:tc>
          <w:tcPr>
            <w:tcW w:w="0" w:type="auto"/>
            <w:hideMark/>
          </w:tcPr>
          <w:p w14:paraId="5162DC8C" w14:textId="77777777" w:rsidR="00577636" w:rsidRPr="00577636" w:rsidRDefault="00577636" w:rsidP="00577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Contenuto della Circolare INL n. 1/2026</w:t>
            </w:r>
          </w:p>
        </w:tc>
        <w:tc>
          <w:tcPr>
            <w:tcW w:w="0" w:type="auto"/>
            <w:hideMark/>
          </w:tcPr>
          <w:p w14:paraId="58B3BEC0" w14:textId="77777777" w:rsidR="00577636" w:rsidRPr="00577636" w:rsidRDefault="00577636" w:rsidP="0057763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Implicazioni operative (cosa fare subito / cosa monitorare)</w:t>
            </w:r>
          </w:p>
        </w:tc>
      </w:tr>
      <w:tr w:rsidR="00577636" w:rsidRPr="00577636" w14:paraId="13027B74" w14:textId="77777777" w:rsidTr="00577636">
        <w:tc>
          <w:tcPr>
            <w:tcW w:w="0" w:type="auto"/>
            <w:hideMark/>
          </w:tcPr>
          <w:p w14:paraId="41A13F43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Appalti e subappalti – focus vigilanza</w:t>
            </w:r>
          </w:p>
        </w:tc>
        <w:tc>
          <w:tcPr>
            <w:tcW w:w="0" w:type="auto"/>
            <w:hideMark/>
          </w:tcPr>
          <w:p w14:paraId="6204B1D3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INL orienta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prioritariamente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i controlli (anche per la “Lista di conformità INL”) verso datori di lavoro che operano in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subappalto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(pubblico e privato).</w:t>
            </w:r>
          </w:p>
        </w:tc>
        <w:tc>
          <w:tcPr>
            <w:tcW w:w="0" w:type="auto"/>
            <w:hideMark/>
          </w:tcPr>
          <w:p w14:paraId="6926DD3E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Subappaltatori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: predisporre dossier pronto (contratti, POS/DVR pertinenti, formazione, idoneità, DUVRI/gestione interferenze se applicabile).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Committenti/affidatari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: rafforzare verifica filiera e tracciabilità imprese “a cascata”.</w:t>
            </w:r>
          </w:p>
        </w:tc>
      </w:tr>
      <w:tr w:rsidR="00577636" w:rsidRPr="00577636" w14:paraId="0F8E2C00" w14:textId="77777777" w:rsidTr="00577636">
        <w:tc>
          <w:tcPr>
            <w:tcW w:w="0" w:type="auto"/>
            <w:hideMark/>
          </w:tcPr>
          <w:p w14:paraId="6146C224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Programmazione controlli e banche dati</w:t>
            </w:r>
          </w:p>
        </w:tc>
        <w:tc>
          <w:tcPr>
            <w:tcW w:w="0" w:type="auto"/>
            <w:hideMark/>
          </w:tcPr>
          <w:p w14:paraId="7292D756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Uso sistematico di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notifiche preliminari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(ove disponibili)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banche dati appalti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(agricoltura/logistica) per pianificare accessi ispettivi.</w:t>
            </w:r>
          </w:p>
        </w:tc>
        <w:tc>
          <w:tcPr>
            <w:tcW w:w="0" w:type="auto"/>
            <w:hideMark/>
          </w:tcPr>
          <w:p w14:paraId="065BEC8A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Aggiornare procedure interne: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tracciamento presenze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elenco imprese/fornitori, documentazione sempre coerente con notifiche e contratti. Monitorare eventuali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integrazioni dati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richieste da INL.</w:t>
            </w:r>
          </w:p>
        </w:tc>
      </w:tr>
      <w:tr w:rsidR="00577636" w:rsidRPr="00577636" w14:paraId="1B65C5E8" w14:textId="77777777" w:rsidTr="00577636">
        <w:tc>
          <w:tcPr>
            <w:tcW w:w="0" w:type="auto"/>
            <w:hideMark/>
          </w:tcPr>
          <w:p w14:paraId="5C3AA283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Notifica preliminare cantieri (Allegato XII)</w:t>
            </w:r>
          </w:p>
        </w:tc>
        <w:tc>
          <w:tcPr>
            <w:tcW w:w="0" w:type="auto"/>
            <w:hideMark/>
          </w:tcPr>
          <w:p w14:paraId="5079635D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Notifica deve riportare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CF/P.IVA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indicare le imprese in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subappalto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. Operativa per notifiche inviate dal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31/10/2025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BE5D694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Aggiornare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modelli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workflow (committente/RL/CSP-CSE). Verificare che la notifica sia coerente con ingresso/uscita imprese e subappalti effettivi (evitare omissioni “segnalanti”).</w:t>
            </w:r>
          </w:p>
        </w:tc>
      </w:tr>
      <w:tr w:rsidR="00577636" w:rsidRPr="00577636" w14:paraId="144F5CB8" w14:textId="77777777" w:rsidTr="00577636">
        <w:tc>
          <w:tcPr>
            <w:tcW w:w="0" w:type="auto"/>
            <w:hideMark/>
          </w:tcPr>
          <w:p w14:paraId="2A661C77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“Badge di cantiere” con codice univoco</w:t>
            </w:r>
          </w:p>
        </w:tc>
        <w:tc>
          <w:tcPr>
            <w:tcW w:w="0" w:type="auto"/>
            <w:hideMark/>
          </w:tcPr>
          <w:p w14:paraId="2A5ECA23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Introduzione di tessera/badge con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codice univoco anticontraffazione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anche in forma digitale con strumenti interoperabili (richiamo SIISL).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sostituisce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la tessera ex </w:t>
            </w:r>
            <w:proofErr w:type="spell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81/08: la integra. Operatività piena legata a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decreto attuativo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117D7071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Preparare processo “ready”: </w:t>
            </w:r>
            <w:proofErr w:type="gram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anagrafica lavoratori</w:t>
            </w:r>
            <w:proofErr w:type="gram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foto, impresa/ruolo, controllo accessi.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Monitorare decreto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(dati trattati, modalità emissione/controllo, ambiti estensione).</w:t>
            </w:r>
          </w:p>
        </w:tc>
      </w:tr>
      <w:tr w:rsidR="00577636" w:rsidRPr="00577636" w14:paraId="611D6A18" w14:textId="77777777" w:rsidTr="00577636">
        <w:tc>
          <w:tcPr>
            <w:tcW w:w="0" w:type="auto"/>
            <w:hideMark/>
          </w:tcPr>
          <w:p w14:paraId="43A4C52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Estensione tessera/badge ad “ambiti ad alto rischio”</w:t>
            </w:r>
          </w:p>
        </w:tc>
        <w:tc>
          <w:tcPr>
            <w:tcW w:w="0" w:type="auto"/>
            <w:hideMark/>
          </w:tcPr>
          <w:p w14:paraId="232B4501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Possibile estensione obblighi (badge/tessera e controlli) a ulteriori contesti definiti “ad elevato rischio” via decreto.</w:t>
            </w:r>
          </w:p>
        </w:tc>
        <w:tc>
          <w:tcPr>
            <w:tcW w:w="0" w:type="auto"/>
            <w:hideMark/>
          </w:tcPr>
          <w:p w14:paraId="4E02EBD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Pianificare compliance anche extra-cantiere (es. logistica) se rientrerà tra ambiti. Mappare già ora reparti/attività con accessi esterni e appalti.</w:t>
            </w:r>
          </w:p>
        </w:tc>
      </w:tr>
      <w:tr w:rsidR="00577636" w:rsidRPr="00577636" w14:paraId="1CD8A7D5" w14:textId="77777777" w:rsidTr="00577636">
        <w:tc>
          <w:tcPr>
            <w:tcW w:w="0" w:type="auto"/>
            <w:hideMark/>
          </w:tcPr>
          <w:p w14:paraId="407C0B43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Patente a crediti – decurtazioni “lavoro nero”</w:t>
            </w:r>
          </w:p>
        </w:tc>
        <w:tc>
          <w:tcPr>
            <w:tcW w:w="0" w:type="auto"/>
            <w:hideMark/>
          </w:tcPr>
          <w:p w14:paraId="71C8DC6F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Nuove regole decurtazione: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crediti per ciascun lavoratore in nero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indipendentemente dalle giornate. Applicazione per illeciti dal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01/01/2026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41BD7906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Rafforzare controlli su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assunzioni, comunicazioni, presenze, subappalti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 Audit su ditte terze: clausole contrattuali + controlli documentali + verifica in campo.</w:t>
            </w:r>
          </w:p>
        </w:tc>
      </w:tr>
      <w:tr w:rsidR="00577636" w:rsidRPr="00577636" w14:paraId="6AA109D6" w14:textId="77777777" w:rsidTr="00577636">
        <w:tc>
          <w:tcPr>
            <w:tcW w:w="0" w:type="auto"/>
            <w:hideMark/>
          </w:tcPr>
          <w:p w14:paraId="3EAB694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Patente a crediti – sanzione minima elevata</w:t>
            </w:r>
          </w:p>
        </w:tc>
        <w:tc>
          <w:tcPr>
            <w:tcW w:w="0" w:type="auto"/>
            <w:hideMark/>
          </w:tcPr>
          <w:p w14:paraId="50F1920B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Sanzione per operare senza patente/credits &lt; 15: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10% valore lavori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minimo 12.000 €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esclusione 6 mesi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dai lavori pubblici;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 diffida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ex art. 301-bis. Applicazione per violazioni dopo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31/10/2025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5E7C8902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Inserire check obbligatorio in fase di affidamento e ingresso in cantiere: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verifica patente/crediti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(impresa e filiera). Integrare nel sistema di qualifica fornitori e nel controllo accessi.</w:t>
            </w:r>
          </w:p>
        </w:tc>
      </w:tr>
      <w:tr w:rsidR="00577636" w:rsidRPr="00577636" w14:paraId="34EFD827" w14:textId="77777777" w:rsidTr="00577636">
        <w:tc>
          <w:tcPr>
            <w:tcW w:w="0" w:type="auto"/>
            <w:hideMark/>
          </w:tcPr>
          <w:p w14:paraId="3F03371A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Patente a crediti – sospensione cautelare</w:t>
            </w:r>
          </w:p>
        </w:tc>
        <w:tc>
          <w:tcPr>
            <w:tcW w:w="0" w:type="auto"/>
            <w:hideMark/>
          </w:tcPr>
          <w:p w14:paraId="7965AA8C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 caso di infortunio con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morte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inabilità permanente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, INL può sospendere cautelarmente la patente fino a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12 mesi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flusso informativo con Procure e valutazione su verbali di P.U.</w:t>
            </w:r>
          </w:p>
        </w:tc>
        <w:tc>
          <w:tcPr>
            <w:tcW w:w="0" w:type="auto"/>
            <w:hideMark/>
          </w:tcPr>
          <w:p w14:paraId="4C4CAF59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Potenziare presidi per prevenire eventi gravi: procedure lavori critici, supervisione, permessi di lavoro, audit di cantiere. Predisporre “</w:t>
            </w:r>
            <w:proofErr w:type="spell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incident</w:t>
            </w:r>
            <w:proofErr w:type="spell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proofErr w:type="spell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response</w:t>
            </w:r>
            <w:proofErr w:type="spell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” documentale (registri, controlli, evidenze formative).</w:t>
            </w:r>
          </w:p>
        </w:tc>
      </w:tr>
      <w:tr w:rsidR="00577636" w:rsidRPr="00577636" w14:paraId="2B07C8D0" w14:textId="77777777" w:rsidTr="00577636">
        <w:tc>
          <w:tcPr>
            <w:tcW w:w="0" w:type="auto"/>
            <w:hideMark/>
          </w:tcPr>
          <w:p w14:paraId="70441C71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Violenza e molestie: misura generale di tutela</w:t>
            </w:r>
          </w:p>
        </w:tc>
        <w:tc>
          <w:tcPr>
            <w:tcW w:w="0" w:type="auto"/>
            <w:hideMark/>
          </w:tcPr>
          <w:p w14:paraId="000417D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Inserita tra le misure generali di tutela (art. 15) la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programmazione di misure di prevenzione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di condotte violente/moleste nei confronti dei lavoratori (Titolo II).</w:t>
            </w:r>
          </w:p>
        </w:tc>
        <w:tc>
          <w:tcPr>
            <w:tcW w:w="0" w:type="auto"/>
            <w:hideMark/>
          </w:tcPr>
          <w:p w14:paraId="3812244F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DVR: valutazione rischio aggressioni/molestie (front-office, sanità, servizi, retail). Implementare procedure, formazione, layout, segnalazioni, gestione post-evento.</w:t>
            </w:r>
          </w:p>
        </w:tc>
      </w:tr>
      <w:tr w:rsidR="00577636" w:rsidRPr="00577636" w14:paraId="03F532E9" w14:textId="77777777" w:rsidTr="00577636">
        <w:tc>
          <w:tcPr>
            <w:tcW w:w="0" w:type="auto"/>
            <w:hideMark/>
          </w:tcPr>
          <w:p w14:paraId="64AF9A4B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DPI e indumenti che “diventano DPI”</w:t>
            </w:r>
          </w:p>
        </w:tc>
        <w:tc>
          <w:tcPr>
            <w:tcW w:w="0" w:type="auto"/>
            <w:hideMark/>
          </w:tcPr>
          <w:p w14:paraId="3FBF1B11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Obblighi di manutenzione/igiene estesi a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indumenti di lavoro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che assumono caratteristica di DPI,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individuati nel DVR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; verifiche ispettive su corretta identificazione.</w:t>
            </w:r>
          </w:p>
        </w:tc>
        <w:tc>
          <w:tcPr>
            <w:tcW w:w="0" w:type="auto"/>
            <w:hideMark/>
          </w:tcPr>
          <w:p w14:paraId="217E43A1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DVR e consegne: distinguere “divisa” vs “indumento-DPI” (alta visibilità, ignifugo, chimico, antitaglio, freddo). Gestire manutenzione, sostituzione, istruzioni e registrazioni.</w:t>
            </w:r>
          </w:p>
        </w:tc>
      </w:tr>
      <w:tr w:rsidR="00577636" w:rsidRPr="00577636" w14:paraId="40C1D069" w14:textId="77777777" w:rsidTr="00577636">
        <w:tc>
          <w:tcPr>
            <w:tcW w:w="0" w:type="auto"/>
            <w:hideMark/>
          </w:tcPr>
          <w:p w14:paraId="70AEC9B1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Scale verticali permanenti &gt; 5 m</w:t>
            </w:r>
          </w:p>
        </w:tc>
        <w:tc>
          <w:tcPr>
            <w:tcW w:w="0" w:type="auto"/>
            <w:hideMark/>
          </w:tcPr>
          <w:p w14:paraId="7C7C7C37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Per scale verticali permanenti (fissate, accesso) &gt; 5 m e inclinazione &gt; 75°: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gabbia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o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DPI anticaduta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(art.115) in base a valutazione rischio; transitorio: installate entro 31/10/2025 → efficacia dal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01/02/2026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  <w:tc>
          <w:tcPr>
            <w:tcW w:w="0" w:type="auto"/>
            <w:hideMark/>
          </w:tcPr>
          <w:p w14:paraId="4EB63FFE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Censire scale permanenti; aggiornare valutazione rischio e scegliere soluzione (attenzione </w:t>
            </w:r>
            <w:proofErr w:type="gram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</w:t>
            </w:r>
            <w:proofErr w:type="gram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soccorso/recupero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se gabbia). Se DPI: ancoraggi, addestramento, procedure emergenza.</w:t>
            </w:r>
          </w:p>
        </w:tc>
      </w:tr>
      <w:tr w:rsidR="00577636" w:rsidRPr="00577636" w14:paraId="05D8729D" w14:textId="77777777" w:rsidTr="00577636">
        <w:tc>
          <w:tcPr>
            <w:tcW w:w="0" w:type="auto"/>
            <w:hideMark/>
          </w:tcPr>
          <w:p w14:paraId="66651D84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Lavori in quota – gerarchia protezioni</w:t>
            </w:r>
          </w:p>
        </w:tc>
        <w:tc>
          <w:tcPr>
            <w:tcW w:w="0" w:type="auto"/>
            <w:hideMark/>
          </w:tcPr>
          <w:p w14:paraId="502A34D5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Riscrittura art.115: priorità a sistemi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collettivi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(parapetti, reti). Per individuali: nuova tassonomia (trattenuta, posizionamento, accesso su funi, arresto caduta) e priorità a trattenuta/posizionamento rispetto ad arresto caduta.</w:t>
            </w:r>
          </w:p>
        </w:tc>
        <w:tc>
          <w:tcPr>
            <w:tcW w:w="0" w:type="auto"/>
            <w:hideMark/>
          </w:tcPr>
          <w:p w14:paraId="7E39AE16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Riesaminare procedure e scelte tecniche: progettare prima protezioni collettive; documentare motivazioni quando si usano sistemi individuali; aggiornare formazione/addestramento e piani di salvataggio.</w:t>
            </w:r>
          </w:p>
        </w:tc>
      </w:tr>
      <w:tr w:rsidR="00577636" w:rsidRPr="00577636" w14:paraId="32560AF9" w14:textId="77777777" w:rsidTr="00577636">
        <w:tc>
          <w:tcPr>
            <w:tcW w:w="0" w:type="auto"/>
            <w:hideMark/>
          </w:tcPr>
          <w:p w14:paraId="5BB1A4CF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– accreditamento formatori</w:t>
            </w:r>
          </w:p>
        </w:tc>
        <w:tc>
          <w:tcPr>
            <w:tcW w:w="0" w:type="auto"/>
            <w:hideMark/>
          </w:tcPr>
          <w:p w14:paraId="490C86BF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Rinvio ad Accordo Stato-Regioni per requisiti e criteri di accreditamento dei soggetti formatori.</w:t>
            </w:r>
          </w:p>
        </w:tc>
        <w:tc>
          <w:tcPr>
            <w:tcW w:w="0" w:type="auto"/>
            <w:hideMark/>
          </w:tcPr>
          <w:p w14:paraId="009A164C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Monitorare l’Accordo; preparare adeguamenti per fornitori formativi, registrazioni, tracciabilità e verifica requisiti.</w:t>
            </w:r>
          </w:p>
        </w:tc>
      </w:tr>
      <w:tr w:rsidR="00577636" w:rsidRPr="00577636" w14:paraId="393E4B2D" w14:textId="77777777" w:rsidTr="00577636">
        <w:tc>
          <w:tcPr>
            <w:tcW w:w="0" w:type="auto"/>
            <w:hideMark/>
          </w:tcPr>
          <w:p w14:paraId="29EFB02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Formazione RLS anche &lt; 15 addetti</w:t>
            </w:r>
          </w:p>
        </w:tc>
        <w:tc>
          <w:tcPr>
            <w:tcW w:w="0" w:type="auto"/>
            <w:hideMark/>
          </w:tcPr>
          <w:p w14:paraId="6B448D68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Esteso obbligo di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aggiornamento periodico RLS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anche per aziende sotto 15 addetti (modalità demandate a CCNL nel rispetto di proporzionalità).</w:t>
            </w:r>
          </w:p>
        </w:tc>
        <w:tc>
          <w:tcPr>
            <w:tcW w:w="0" w:type="auto"/>
            <w:hideMark/>
          </w:tcPr>
          <w:p w14:paraId="3FF1C5CE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Verificare CCNL applicato; pianificare aggiornamenti RLS; mantenere evidenze (attestati, registri).</w:t>
            </w:r>
          </w:p>
        </w:tc>
      </w:tr>
      <w:tr w:rsidR="00577636" w:rsidRPr="00577636" w14:paraId="3483E351" w14:textId="77777777" w:rsidTr="00577636">
        <w:tc>
          <w:tcPr>
            <w:tcW w:w="0" w:type="auto"/>
            <w:hideMark/>
          </w:tcPr>
          <w:p w14:paraId="25D6C0EF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Tracciabilità competenze – fascicoli elettronici</w:t>
            </w:r>
          </w:p>
        </w:tc>
        <w:tc>
          <w:tcPr>
            <w:tcW w:w="0" w:type="auto"/>
            <w:hideMark/>
          </w:tcPr>
          <w:p w14:paraId="3AB46485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Superato il “libretto formativo”: riferimento al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fascicolo elettronico del lavoratore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e fascicolo sociale e lavorativo, con integrazione in SIISL.</w:t>
            </w:r>
          </w:p>
        </w:tc>
        <w:tc>
          <w:tcPr>
            <w:tcW w:w="0" w:type="auto"/>
            <w:hideMark/>
          </w:tcPr>
          <w:p w14:paraId="35811809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Preparare gestione documentale digitale: archiviazione attestati, scadenze, evidenze. Monitorare requisiti tecnici e interoperabilità con SIISL.</w:t>
            </w:r>
          </w:p>
        </w:tc>
      </w:tr>
      <w:tr w:rsidR="00577636" w:rsidRPr="00577636" w14:paraId="73C8062E" w14:textId="77777777" w:rsidTr="00577636">
        <w:tc>
          <w:tcPr>
            <w:tcW w:w="0" w:type="auto"/>
            <w:hideMark/>
          </w:tcPr>
          <w:p w14:paraId="42B4704B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Comunicazioni obbligatorie via SIISL</w:t>
            </w:r>
          </w:p>
        </w:tc>
        <w:tc>
          <w:tcPr>
            <w:tcW w:w="0" w:type="auto"/>
            <w:hideMark/>
          </w:tcPr>
          <w:p w14:paraId="1F44CD3B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Dal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01/04/2026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possibile invio comunicazioni obbligatorie anche tramite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SIISL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, secondo decreto attuativo.</w:t>
            </w:r>
          </w:p>
        </w:tc>
        <w:tc>
          <w:tcPr>
            <w:tcW w:w="0" w:type="auto"/>
            <w:hideMark/>
          </w:tcPr>
          <w:p w14:paraId="2D821E1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HR/Consulenti: monitorare decreto (flussi, deleghe, responsabilità). Verificare impatto su procedure, gestionali e audit </w:t>
            </w:r>
            <w:proofErr w:type="spell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trail</w:t>
            </w:r>
            <w:proofErr w:type="spell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.</w:t>
            </w:r>
          </w:p>
        </w:tc>
      </w:tr>
      <w:tr w:rsidR="00577636" w:rsidRPr="00577636" w14:paraId="5AECB9FD" w14:textId="77777777" w:rsidTr="00577636">
        <w:tc>
          <w:tcPr>
            <w:tcW w:w="0" w:type="auto"/>
            <w:hideMark/>
          </w:tcPr>
          <w:p w14:paraId="5BA1FFA8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Domicilio digitale amministratori</w:t>
            </w:r>
          </w:p>
        </w:tc>
        <w:tc>
          <w:tcPr>
            <w:tcW w:w="0" w:type="auto"/>
            <w:hideMark/>
          </w:tcPr>
          <w:p w14:paraId="70D9AE1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Obbligo domicilio digitale per amministratore/AD o presidente </w:t>
            </w:r>
            <w:proofErr w:type="spell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CdA</w:t>
            </w:r>
            <w:proofErr w:type="spell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;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non coincidente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con quello dell’impresa; comunicazione entro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31/12/2025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imprese già iscritte (e ad ogni rinnovo/conferimento).</w:t>
            </w:r>
          </w:p>
        </w:tc>
        <w:tc>
          <w:tcPr>
            <w:tcW w:w="0" w:type="auto"/>
            <w:hideMark/>
          </w:tcPr>
          <w:p w14:paraId="69F79A7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Adeguare governance societaria: PEC/domicilio digitale “personale” amministratore, aggiornamento camerale. Audit di conformità amministrativa.</w:t>
            </w:r>
          </w:p>
        </w:tc>
      </w:tr>
      <w:tr w:rsidR="00577636" w:rsidRPr="00577636" w14:paraId="79C08668" w14:textId="77777777" w:rsidTr="00577636">
        <w:tc>
          <w:tcPr>
            <w:tcW w:w="0" w:type="auto"/>
            <w:hideMark/>
          </w:tcPr>
          <w:p w14:paraId="46A8100D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Rete Lavoro Agricolo di Qualità (RLAQ)</w:t>
            </w:r>
          </w:p>
        </w:tc>
        <w:tc>
          <w:tcPr>
            <w:tcW w:w="0" w:type="auto"/>
            <w:hideMark/>
          </w:tcPr>
          <w:p w14:paraId="387CA734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Requisiti più stringenti: ostative condanne anche SSL; impedimenti per contravvenzioni/sanzioni negli ultimi </w:t>
            </w:r>
            <w:proofErr w:type="gram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  <w:proofErr w:type="gram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anni salvo regolarizzazione (incluse procedure </w:t>
            </w:r>
            <w:proofErr w:type="spell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D.Lgs.</w:t>
            </w:r>
            <w:proofErr w:type="spell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758/1994).</w:t>
            </w:r>
          </w:p>
        </w:tc>
        <w:tc>
          <w:tcPr>
            <w:tcW w:w="0" w:type="auto"/>
            <w:hideMark/>
          </w:tcPr>
          <w:p w14:paraId="21273F9F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Aziende agricole: prevenire violazioni SSL; chiudere correttamente prescrizioni 758/94; tenere dossier di regolarizzazione e pagamenti.</w:t>
            </w:r>
          </w:p>
        </w:tc>
      </w:tr>
      <w:tr w:rsidR="00577636" w:rsidRPr="00577636" w14:paraId="2812BC06" w14:textId="77777777" w:rsidTr="00577636">
        <w:tc>
          <w:tcPr>
            <w:tcW w:w="0" w:type="auto"/>
            <w:hideMark/>
          </w:tcPr>
          <w:p w14:paraId="69F14734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Sorveglianza sanitaria – orario di lavoro</w:t>
            </w:r>
          </w:p>
        </w:tc>
        <w:tc>
          <w:tcPr>
            <w:tcW w:w="0" w:type="auto"/>
            <w:hideMark/>
          </w:tcPr>
          <w:p w14:paraId="684586CE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Chiarito che la sorveglianza sanitaria si svolge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 orario di lavoro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(salvo </w:t>
            </w:r>
            <w:proofErr w:type="spellStart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preassuntive</w:t>
            </w:r>
            <w:proofErr w:type="spellEnd"/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).</w:t>
            </w:r>
          </w:p>
        </w:tc>
        <w:tc>
          <w:tcPr>
            <w:tcW w:w="0" w:type="auto"/>
            <w:hideMark/>
          </w:tcPr>
          <w:p w14:paraId="4E5182C6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Adeguare pianificazione turni/convocazioni; formalizzare procedure di chiamata e registrazione presenze visita.</w:t>
            </w:r>
          </w:p>
        </w:tc>
      </w:tr>
      <w:tr w:rsidR="00577636" w:rsidRPr="00577636" w14:paraId="6A83F0F3" w14:textId="77777777" w:rsidTr="00577636">
        <w:tc>
          <w:tcPr>
            <w:tcW w:w="0" w:type="auto"/>
            <w:hideMark/>
          </w:tcPr>
          <w:p w14:paraId="71C400B4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Screening oncologici (ruolo MC)</w:t>
            </w:r>
          </w:p>
        </w:tc>
        <w:tc>
          <w:tcPr>
            <w:tcW w:w="0" w:type="auto"/>
            <w:hideMark/>
          </w:tcPr>
          <w:p w14:paraId="075BE105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Medico competente: informazione e promozione adesione agli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screening oncologici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LEA.</w:t>
            </w:r>
          </w:p>
        </w:tc>
        <w:tc>
          <w:tcPr>
            <w:tcW w:w="0" w:type="auto"/>
            <w:hideMark/>
          </w:tcPr>
          <w:p w14:paraId="6AD43862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Integrare nel protocollo sanitario: informativa, campagne interne, tracciamento attività informativa (senza dati sanitari impropri).</w:t>
            </w:r>
          </w:p>
        </w:tc>
      </w:tr>
      <w:tr w:rsidR="00577636" w:rsidRPr="00577636" w14:paraId="06FA98BE" w14:textId="77777777" w:rsidTr="00577636">
        <w:tc>
          <w:tcPr>
            <w:tcW w:w="0" w:type="auto"/>
            <w:hideMark/>
          </w:tcPr>
          <w:p w14:paraId="62BF831A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“Ragionevole motivo” alcol/stupefacenti</w:t>
            </w:r>
          </w:p>
        </w:tc>
        <w:tc>
          <w:tcPr>
            <w:tcW w:w="0" w:type="auto"/>
            <w:hideMark/>
          </w:tcPr>
          <w:p w14:paraId="68155AB4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Prevista visita medica prima/durante turno in presenza di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ragionevole motivo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attività ad elevato rischio; Circolare invita a prudenza e richiama futuro Accordo SR entro 31/12/2026 per modalità.</w:t>
            </w:r>
          </w:p>
        </w:tc>
        <w:tc>
          <w:tcPr>
            <w:tcW w:w="0" w:type="auto"/>
            <w:hideMark/>
          </w:tcPr>
          <w:p w14:paraId="1645989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Predisporre procedura cauta: criteri oggettivi, segnalazione, tutela privacy e gestione conflitti.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Monitorare Accordo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per modalità operative e limiti.</w:t>
            </w:r>
          </w:p>
        </w:tc>
      </w:tr>
      <w:tr w:rsidR="00577636" w:rsidRPr="00577636" w14:paraId="09B90E91" w14:textId="77777777" w:rsidTr="00577636">
        <w:tc>
          <w:tcPr>
            <w:tcW w:w="0" w:type="auto"/>
            <w:hideMark/>
          </w:tcPr>
          <w:p w14:paraId="56C26EFD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MOG / SGSL – ISO 45001 aggiornata</w:t>
            </w:r>
          </w:p>
        </w:tc>
        <w:tc>
          <w:tcPr>
            <w:tcW w:w="0" w:type="auto"/>
            <w:hideMark/>
          </w:tcPr>
          <w:p w14:paraId="7C28C210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Art.30: aggiornato riferimento a </w:t>
            </w:r>
            <w:r w:rsidRPr="0057763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UNI EN ISO 45001:2023 + A1:2024</w:t>
            </w: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(superato OHSAS 18001).</w:t>
            </w:r>
          </w:p>
        </w:tc>
        <w:tc>
          <w:tcPr>
            <w:tcW w:w="0" w:type="auto"/>
            <w:hideMark/>
          </w:tcPr>
          <w:p w14:paraId="42A9DE11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Aggiornare documentazione MOG/SGSL e riferimenti contrattuali/audit; riallineare eventuali procedure e manuali.</w:t>
            </w:r>
          </w:p>
        </w:tc>
      </w:tr>
      <w:tr w:rsidR="00577636" w:rsidRPr="00577636" w14:paraId="48195482" w14:textId="77777777" w:rsidTr="00577636">
        <w:tc>
          <w:tcPr>
            <w:tcW w:w="0" w:type="auto"/>
            <w:hideMark/>
          </w:tcPr>
          <w:p w14:paraId="1B7082BB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Protezione civile e volontariato</w:t>
            </w:r>
          </w:p>
        </w:tc>
        <w:tc>
          <w:tcPr>
            <w:tcW w:w="0" w:type="auto"/>
            <w:hideMark/>
          </w:tcPr>
          <w:p w14:paraId="4654004C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Introduzione art. 3-bis per organizzazioni di volontariato PC: obblighi formativi/DPI, delimitazione “luoghi di lavoro”, disciplina sanzionatoria dedicata.</w:t>
            </w:r>
          </w:p>
        </w:tc>
        <w:tc>
          <w:tcPr>
            <w:tcW w:w="0" w:type="auto"/>
            <w:hideMark/>
          </w:tcPr>
          <w:p w14:paraId="1F9C3E93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Enti/organizzazioni: aggiornare procedure addestramento e DPI, gestione esercitazioni/interventi, ruoli e responsabilità.</w:t>
            </w:r>
          </w:p>
        </w:tc>
      </w:tr>
      <w:tr w:rsidR="00577636" w:rsidRPr="00577636" w14:paraId="13493812" w14:textId="77777777" w:rsidTr="00577636">
        <w:tc>
          <w:tcPr>
            <w:tcW w:w="0" w:type="auto"/>
            <w:hideMark/>
          </w:tcPr>
          <w:p w14:paraId="0ECBE788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Sistema istituzionale SSL – ruolo INL</w:t>
            </w:r>
          </w:p>
        </w:tc>
        <w:tc>
          <w:tcPr>
            <w:tcW w:w="0" w:type="auto"/>
            <w:hideMark/>
          </w:tcPr>
          <w:p w14:paraId="3F7DF9E3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INL inserito negli organi di coordinamento/consultazione/interpelli: rafforzamento governance e indirizzi.</w:t>
            </w:r>
          </w:p>
        </w:tc>
        <w:tc>
          <w:tcPr>
            <w:tcW w:w="0" w:type="auto"/>
            <w:hideMark/>
          </w:tcPr>
          <w:p w14:paraId="5EE85D1E" w14:textId="77777777" w:rsidR="00577636" w:rsidRPr="00577636" w:rsidRDefault="00577636" w:rsidP="00577636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776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Aspettarsi maggiore uniformità interpretativa e intensificazione indirizzi operativi: monitorare circolari/FAQ successive e adeguare procedure interne.</w:t>
            </w:r>
          </w:p>
        </w:tc>
      </w:tr>
    </w:tbl>
    <w:p w14:paraId="5E9B2654" w14:textId="77777777" w:rsidR="00577636" w:rsidRDefault="00577636"/>
    <w:p w14:paraId="2E87E8CA" w14:textId="77777777" w:rsidR="00577636" w:rsidRDefault="00577636"/>
    <w:sectPr w:rsidR="00577636" w:rsidSect="0057763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7636"/>
    <w:rsid w:val="00336AF8"/>
    <w:rsid w:val="00577636"/>
    <w:rsid w:val="0075391A"/>
    <w:rsid w:val="00C15881"/>
    <w:rsid w:val="00D078F3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F085F"/>
  <w15:chartTrackingRefBased/>
  <w15:docId w15:val="{F73DD844-8173-457C-899F-A78AE3C78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7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7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6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6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6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6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6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6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7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6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63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63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63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63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63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63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6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63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63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63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63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63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776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84B8B-7C11-4226-87C1-2F6F2470B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1229</Words>
  <Characters>7374</Characters>
  <Application>Microsoft Office Word</Application>
  <DocSecurity>0</DocSecurity>
  <Lines>204</Lines>
  <Paragraphs>232</Paragraphs>
  <ScaleCrop>false</ScaleCrop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2026-02-24T12:45:00Z</dcterms:created>
  <dcterms:modified xsi:type="dcterms:W3CDTF">2026-02-24T12:46:00Z</dcterms:modified>
</cp:coreProperties>
</file>