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9F925" w14:textId="1ABDABF9" w:rsidR="00336AF8" w:rsidRDefault="000F488E">
      <w:r>
        <w:rPr>
          <w:noProof/>
        </w:rPr>
        <w:drawing>
          <wp:inline distT="0" distB="0" distL="0" distR="0" wp14:anchorId="797B2208" wp14:editId="4692DEEC">
            <wp:extent cx="6120130" cy="4079875"/>
            <wp:effectExtent l="0" t="0" r="0" b="0"/>
            <wp:docPr id="2059532746" name="Immagine 1" descr="Immagine che contiene vestiti, testo, abbigliamento da lavoro, uom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532746" name="Immagine 1" descr="Immagine che contiene vestiti, testo, abbigliamento da lavoro, uomo&#10;&#10;Il contenuto generato dall'IA potrebbe non essere corret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45"/>
        <w:gridCol w:w="4465"/>
        <w:gridCol w:w="3344"/>
      </w:tblGrid>
      <w:tr w:rsidR="000F488E" w:rsidRPr="000F488E" w14:paraId="51E4B794" w14:textId="77777777" w:rsidTr="000F488E">
        <w:tc>
          <w:tcPr>
            <w:tcW w:w="0" w:type="auto"/>
            <w:hideMark/>
          </w:tcPr>
          <w:p w14:paraId="448502CC" w14:textId="77777777" w:rsidR="000F488E" w:rsidRPr="000F488E" w:rsidRDefault="000F488E" w:rsidP="000F4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3DC91431" w14:textId="77777777" w:rsidR="000F488E" w:rsidRPr="000F488E" w:rsidRDefault="000F488E" w:rsidP="000F4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Sintesi operativa</w:t>
            </w:r>
          </w:p>
        </w:tc>
        <w:tc>
          <w:tcPr>
            <w:tcW w:w="0" w:type="auto"/>
            <w:hideMark/>
          </w:tcPr>
          <w:p w14:paraId="66186B99" w14:textId="77777777" w:rsidR="000F488E" w:rsidRPr="000F488E" w:rsidRDefault="000F488E" w:rsidP="000F4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Implicazioni per azienda / MC</w:t>
            </w:r>
          </w:p>
        </w:tc>
      </w:tr>
      <w:tr w:rsidR="000F488E" w:rsidRPr="000F488E" w14:paraId="0C564860" w14:textId="77777777" w:rsidTr="000F488E">
        <w:tc>
          <w:tcPr>
            <w:tcW w:w="0" w:type="auto"/>
            <w:hideMark/>
          </w:tcPr>
          <w:p w14:paraId="4E63914A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Finalità delle Linee Guida AIRM (2021)</w:t>
            </w:r>
          </w:p>
        </w:tc>
        <w:tc>
          <w:tcPr>
            <w:tcW w:w="0" w:type="auto"/>
            <w:hideMark/>
          </w:tcPr>
          <w:p w14:paraId="5CC9ACA2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Supportare il Medico Competente nell’impostazione della sorveglianza sanitaria per lavoratori esposti a CEM, con approccio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evidence-based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criteri applicativi</w:t>
            </w:r>
          </w:p>
        </w:tc>
        <w:tc>
          <w:tcPr>
            <w:tcW w:w="0" w:type="auto"/>
            <w:hideMark/>
          </w:tcPr>
          <w:p w14:paraId="3FF09A25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Uniforma criteri decisionali, riduce difformità tra casi simili, facilita l’integrazione con DVR e procedure</w:t>
            </w:r>
          </w:p>
        </w:tc>
      </w:tr>
      <w:tr w:rsidR="000F488E" w:rsidRPr="000F488E" w14:paraId="15E81E0D" w14:textId="77777777" w:rsidTr="000F488E">
        <w:tc>
          <w:tcPr>
            <w:tcW w:w="0" w:type="auto"/>
            <w:hideMark/>
          </w:tcPr>
          <w:p w14:paraId="65233090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Quadro normativo richiamato</w:t>
            </w:r>
          </w:p>
        </w:tc>
        <w:tc>
          <w:tcPr>
            <w:tcW w:w="0" w:type="auto"/>
            <w:hideMark/>
          </w:tcPr>
          <w:p w14:paraId="120AEC2B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81/08 Titolo VIII Capo IV (CEM) e obbligo di SS con attenzione ai lavoratori particolarmente sensibili</w:t>
            </w:r>
          </w:p>
        </w:tc>
        <w:tc>
          <w:tcPr>
            <w:tcW w:w="0" w:type="auto"/>
            <w:hideMark/>
          </w:tcPr>
          <w:p w14:paraId="4812D7A8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SS e giudizi di idoneità devono discendere dalla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CEM e dalle condizioni individuali</w:t>
            </w:r>
          </w:p>
        </w:tc>
      </w:tr>
      <w:tr w:rsidR="000F488E" w:rsidRPr="000F488E" w14:paraId="29CDC6F0" w14:textId="77777777" w:rsidTr="000F488E">
        <w:tc>
          <w:tcPr>
            <w:tcW w:w="0" w:type="auto"/>
            <w:hideMark/>
          </w:tcPr>
          <w:p w14:paraId="04D5A048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Classificazione CEM</w:t>
            </w:r>
          </w:p>
        </w:tc>
        <w:tc>
          <w:tcPr>
            <w:tcW w:w="0" w:type="auto"/>
            <w:hideMark/>
          </w:tcPr>
          <w:p w14:paraId="1272AF8B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Campi statici, ELF/IF, RF/microonde: meccanismi e grandezze rilevanti cambiano con la frequenza</w:t>
            </w:r>
          </w:p>
        </w:tc>
        <w:tc>
          <w:tcPr>
            <w:tcW w:w="0" w:type="auto"/>
            <w:hideMark/>
          </w:tcPr>
          <w:p w14:paraId="54C5229D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Necessario collegare sorgente–frequenza–mansione alle scelte di tutela e SS</w:t>
            </w:r>
          </w:p>
        </w:tc>
      </w:tr>
      <w:tr w:rsidR="000F488E" w:rsidRPr="000F488E" w14:paraId="7EA171FA" w14:textId="77777777" w:rsidTr="000F488E">
        <w:tc>
          <w:tcPr>
            <w:tcW w:w="0" w:type="auto"/>
            <w:hideMark/>
          </w:tcPr>
          <w:p w14:paraId="5655C039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Effetti diretti accertati (acuti)</w:t>
            </w:r>
          </w:p>
        </w:tc>
        <w:tc>
          <w:tcPr>
            <w:tcW w:w="0" w:type="auto"/>
            <w:hideMark/>
          </w:tcPr>
          <w:p w14:paraId="32BC3F26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Statici: effetti sensoriali (es. vertigini/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magnetofosfeni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 particolari condizioni); ELF/IF: stimolazione; RF: effetti termici</w:t>
            </w:r>
          </w:p>
        </w:tc>
        <w:tc>
          <w:tcPr>
            <w:tcW w:w="0" w:type="auto"/>
            <w:hideMark/>
          </w:tcPr>
          <w:p w14:paraId="7ACF529E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Base per limiti e gestione; attenzione anche agli effetti sensoriali per la sicurezza operativa</w:t>
            </w:r>
          </w:p>
        </w:tc>
      </w:tr>
      <w:tr w:rsidR="000F488E" w:rsidRPr="000F488E" w14:paraId="26AD3AA4" w14:textId="77777777" w:rsidTr="000F488E">
        <w:tc>
          <w:tcPr>
            <w:tcW w:w="0" w:type="auto"/>
            <w:hideMark/>
          </w:tcPr>
          <w:p w14:paraId="129E8A52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Effetti indiretti</w:t>
            </w:r>
          </w:p>
        </w:tc>
        <w:tc>
          <w:tcPr>
            <w:tcW w:w="0" w:type="auto"/>
            <w:hideMark/>
          </w:tcPr>
          <w:p w14:paraId="672D2110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con DMIA/dispositivi indossabili; interazioni con impianti passivi/inclusi metallici; correnti di contatto/ustioni</w:t>
            </w:r>
          </w:p>
        </w:tc>
        <w:tc>
          <w:tcPr>
            <w:tcW w:w="0" w:type="auto"/>
            <w:hideMark/>
          </w:tcPr>
          <w:p w14:paraId="495A4245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Spesso determinano la criticità reale: richiedono screening mirato e misure tecnico-organizzative</w:t>
            </w:r>
          </w:p>
        </w:tc>
      </w:tr>
      <w:tr w:rsidR="000F488E" w:rsidRPr="000F488E" w14:paraId="60E85997" w14:textId="77777777" w:rsidTr="000F488E">
        <w:tc>
          <w:tcPr>
            <w:tcW w:w="0" w:type="auto"/>
            <w:hideMark/>
          </w:tcPr>
          <w:p w14:paraId="5EAF7CCB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Effetti non accertati (lungo termine)</w:t>
            </w:r>
          </w:p>
        </w:tc>
        <w:tc>
          <w:tcPr>
            <w:tcW w:w="0" w:type="auto"/>
            <w:hideMark/>
          </w:tcPr>
          <w:p w14:paraId="0D536213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Discussione critica delle evidenze; prevenzione normativa centrata sugli effetti accertati</w:t>
            </w:r>
          </w:p>
        </w:tc>
        <w:tc>
          <w:tcPr>
            <w:tcW w:w="0" w:type="auto"/>
            <w:hideMark/>
          </w:tcPr>
          <w:p w14:paraId="52E61CB6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Importante comunicazione del rischio: evitare allarmismi e focalizzare le misure su rischi documentati</w:t>
            </w:r>
          </w:p>
        </w:tc>
      </w:tr>
      <w:tr w:rsidR="000F488E" w:rsidRPr="000F488E" w14:paraId="5C0301E0" w14:textId="77777777" w:rsidTr="000F488E">
        <w:tc>
          <w:tcPr>
            <w:tcW w:w="0" w:type="auto"/>
            <w:hideMark/>
          </w:tcPr>
          <w:p w14:paraId="4CC1F023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 particolarmente sensibili</w:t>
            </w:r>
          </w:p>
        </w:tc>
        <w:tc>
          <w:tcPr>
            <w:tcW w:w="0" w:type="auto"/>
            <w:hideMark/>
          </w:tcPr>
          <w:p w14:paraId="47265956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Portatori di DMIA; impianti passivi/inclusi metallici; gravidanza (gestione cautelativa)</w:t>
            </w:r>
          </w:p>
        </w:tc>
        <w:tc>
          <w:tcPr>
            <w:tcW w:w="0" w:type="auto"/>
            <w:hideMark/>
          </w:tcPr>
          <w:p w14:paraId="253E244A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Richiede percorso dedicato (mansioni, aree, limitazioni, informazione mirata, eventuale </w:t>
            </w: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riassegnazione)</w:t>
            </w:r>
          </w:p>
        </w:tc>
      </w:tr>
      <w:tr w:rsidR="000F488E" w:rsidRPr="000F488E" w14:paraId="45748095" w14:textId="77777777" w:rsidTr="000F488E">
        <w:tc>
          <w:tcPr>
            <w:tcW w:w="0" w:type="auto"/>
            <w:hideMark/>
          </w:tcPr>
          <w:p w14:paraId="7A6BC3CA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Criteri per attivare la SS</w:t>
            </w:r>
          </w:p>
        </w:tc>
        <w:tc>
          <w:tcPr>
            <w:tcW w:w="0" w:type="auto"/>
            <w:hideMark/>
          </w:tcPr>
          <w:p w14:paraId="13431F49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Distinzione operativa tra: casi non a rischio sanitario; casi gestibili con sola informazione/formazione; casi con rischio concreto che richiedono SS</w:t>
            </w:r>
          </w:p>
        </w:tc>
        <w:tc>
          <w:tcPr>
            <w:tcW w:w="0" w:type="auto"/>
            <w:hideMark/>
          </w:tcPr>
          <w:p w14:paraId="1113F396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Evita sia “tutti in SS” sia “nessuno in SS”; garantisce proporzionalità e tracciabilità</w:t>
            </w:r>
          </w:p>
        </w:tc>
      </w:tr>
      <w:tr w:rsidR="000F488E" w:rsidRPr="000F488E" w14:paraId="0DD9FB5D" w14:textId="77777777" w:rsidTr="000F488E">
        <w:tc>
          <w:tcPr>
            <w:tcW w:w="0" w:type="auto"/>
            <w:hideMark/>
          </w:tcPr>
          <w:p w14:paraId="2175ABB9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Strumenti per il MC</w:t>
            </w:r>
          </w:p>
        </w:tc>
        <w:tc>
          <w:tcPr>
            <w:tcW w:w="0" w:type="auto"/>
            <w:hideMark/>
          </w:tcPr>
          <w:p w14:paraId="3A4998A5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Anamnesi mirata; questionari/screening DMIA e impianti; monitoraggio sintomi sensoriali</w:t>
            </w:r>
          </w:p>
        </w:tc>
        <w:tc>
          <w:tcPr>
            <w:tcW w:w="0" w:type="auto"/>
            <w:hideMark/>
          </w:tcPr>
          <w:p w14:paraId="3471D3E0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Standardizza raccolta dati e decisioni; migliora gestione di idoneità e comunicazione interna</w:t>
            </w:r>
          </w:p>
        </w:tc>
      </w:tr>
      <w:tr w:rsidR="000F488E" w:rsidRPr="000F488E" w14:paraId="5170B721" w14:textId="77777777" w:rsidTr="000F488E">
        <w:tc>
          <w:tcPr>
            <w:tcW w:w="0" w:type="auto"/>
            <w:hideMark/>
          </w:tcPr>
          <w:p w14:paraId="7E8CE118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Periodicità e modulazione</w:t>
            </w:r>
          </w:p>
        </w:tc>
        <w:tc>
          <w:tcPr>
            <w:tcW w:w="0" w:type="auto"/>
            <w:hideMark/>
          </w:tcPr>
          <w:p w14:paraId="7DA44C67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Periodicità definita dal MC in coerenza con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mansioni e sensibilità (più frequente nei casi critici/sensibili)</w:t>
            </w:r>
          </w:p>
        </w:tc>
        <w:tc>
          <w:tcPr>
            <w:tcW w:w="0" w:type="auto"/>
            <w:hideMark/>
          </w:tcPr>
          <w:p w14:paraId="231400D5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Consente protocolli “su misura” e ottimizzazione risorse, mantenendo tutela elevata</w:t>
            </w:r>
          </w:p>
        </w:tc>
      </w:tr>
      <w:tr w:rsidR="000F488E" w:rsidRPr="000F488E" w14:paraId="21A38FEB" w14:textId="77777777" w:rsidTr="000F488E">
        <w:tc>
          <w:tcPr>
            <w:tcW w:w="0" w:type="auto"/>
            <w:hideMark/>
          </w:tcPr>
          <w:p w14:paraId="6C2E5F54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superamenti / criticità</w:t>
            </w:r>
          </w:p>
        </w:tc>
        <w:tc>
          <w:tcPr>
            <w:tcW w:w="0" w:type="auto"/>
            <w:hideMark/>
          </w:tcPr>
          <w:p w14:paraId="4A0BFA66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e misure correttive in caso di superamento di valori pertinenti o segnalazione sintomi; possibile controllo straordinario</w:t>
            </w:r>
          </w:p>
        </w:tc>
        <w:tc>
          <w:tcPr>
            <w:tcW w:w="0" w:type="auto"/>
            <w:hideMark/>
          </w:tcPr>
          <w:p w14:paraId="4891EFA6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Attivare iter chiaro: verifica esposizione, mitigazioni, revisione mansione, follow-up sanitario</w:t>
            </w:r>
          </w:p>
        </w:tc>
      </w:tr>
      <w:tr w:rsidR="000F488E" w:rsidRPr="000F488E" w14:paraId="09038DA3" w14:textId="77777777" w:rsidTr="000F488E">
        <w:tc>
          <w:tcPr>
            <w:tcW w:w="0" w:type="auto"/>
            <w:hideMark/>
          </w:tcPr>
          <w:p w14:paraId="1AD4F155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Sorgenti e scenari tipici</w:t>
            </w:r>
          </w:p>
        </w:tc>
        <w:tc>
          <w:tcPr>
            <w:tcW w:w="0" w:type="auto"/>
            <w:hideMark/>
          </w:tcPr>
          <w:p w14:paraId="763AFDE0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Sanità (RM, elettrobisturi, ecc.), industria (induzione, saldatura, RF), TLC (antenne), trasporti, antitaccheggio/RFID</w:t>
            </w:r>
          </w:p>
        </w:tc>
        <w:tc>
          <w:tcPr>
            <w:tcW w:w="0" w:type="auto"/>
            <w:hideMark/>
          </w:tcPr>
          <w:p w14:paraId="502A7CD3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Facilita l’individuazione dei reparti “sensibili” e la priorità di valutazione/controllo</w:t>
            </w:r>
          </w:p>
        </w:tc>
      </w:tr>
      <w:tr w:rsidR="000F488E" w:rsidRPr="000F488E" w14:paraId="2DE8CE95" w14:textId="77777777" w:rsidTr="000F488E">
        <w:tc>
          <w:tcPr>
            <w:tcW w:w="0" w:type="auto"/>
            <w:hideMark/>
          </w:tcPr>
          <w:p w14:paraId="685D57AA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Output documentali attesi</w:t>
            </w:r>
          </w:p>
        </w:tc>
        <w:tc>
          <w:tcPr>
            <w:tcW w:w="0" w:type="auto"/>
            <w:hideMark/>
          </w:tcPr>
          <w:p w14:paraId="5FF91076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Protocollo sanitario coerente con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criteri di idoneità motivati; tracciabilità di informazione/formazione e gestione sensibili</w:t>
            </w:r>
          </w:p>
        </w:tc>
        <w:tc>
          <w:tcPr>
            <w:tcW w:w="0" w:type="auto"/>
            <w:hideMark/>
          </w:tcPr>
          <w:p w14:paraId="70F97ACC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Rafforza compliance e difendibilità (audit, organi di vigilanza, contenzioso)</w:t>
            </w:r>
          </w:p>
        </w:tc>
      </w:tr>
    </w:tbl>
    <w:p w14:paraId="6013EF2A" w14:textId="77777777" w:rsidR="000F488E" w:rsidRDefault="000F488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4"/>
        <w:gridCol w:w="1407"/>
        <w:gridCol w:w="2028"/>
        <w:gridCol w:w="2077"/>
        <w:gridCol w:w="2038"/>
      </w:tblGrid>
      <w:tr w:rsidR="000F488E" w:rsidRPr="000F488E" w14:paraId="78B16D3D" w14:textId="77777777" w:rsidTr="000F488E">
        <w:tc>
          <w:tcPr>
            <w:tcW w:w="0" w:type="auto"/>
            <w:hideMark/>
          </w:tcPr>
          <w:p w14:paraId="19610349" w14:textId="77777777" w:rsidR="000F488E" w:rsidRPr="000F488E" w:rsidRDefault="000F488E" w:rsidP="000F4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 di protocollo sanitario (CEM)</w:t>
            </w:r>
          </w:p>
        </w:tc>
        <w:tc>
          <w:tcPr>
            <w:tcW w:w="0" w:type="auto"/>
            <w:hideMark/>
          </w:tcPr>
          <w:p w14:paraId="39C7B9A6" w14:textId="77777777" w:rsidR="000F488E" w:rsidRPr="000F488E" w:rsidRDefault="000F488E" w:rsidP="000F4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Lavoratori interessati (criterio di inclusione)</w:t>
            </w:r>
          </w:p>
        </w:tc>
        <w:tc>
          <w:tcPr>
            <w:tcW w:w="0" w:type="auto"/>
            <w:hideMark/>
          </w:tcPr>
          <w:p w14:paraId="3E29DCA3" w14:textId="77777777" w:rsidR="000F488E" w:rsidRPr="000F488E" w:rsidRDefault="000F488E" w:rsidP="000F4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Contenuti minimi (accertamenti/attività)</w:t>
            </w:r>
          </w:p>
        </w:tc>
        <w:tc>
          <w:tcPr>
            <w:tcW w:w="0" w:type="auto"/>
            <w:hideMark/>
          </w:tcPr>
          <w:p w14:paraId="6702300E" w14:textId="77777777" w:rsidR="000F488E" w:rsidRPr="000F488E" w:rsidRDefault="000F488E" w:rsidP="000F4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Periodicità indicativa (da modulare dal MC)</w:t>
            </w:r>
          </w:p>
        </w:tc>
        <w:tc>
          <w:tcPr>
            <w:tcW w:w="0" w:type="auto"/>
            <w:hideMark/>
          </w:tcPr>
          <w:p w14:paraId="59FA76EE" w14:textId="77777777" w:rsidR="000F488E" w:rsidRPr="000F488E" w:rsidRDefault="000F488E" w:rsidP="000F4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Esiti/Output attesi</w:t>
            </w:r>
          </w:p>
        </w:tc>
      </w:tr>
      <w:tr w:rsidR="000F488E" w:rsidRPr="000F488E" w14:paraId="34DAC851" w14:textId="77777777" w:rsidTr="000F488E">
        <w:tc>
          <w:tcPr>
            <w:tcW w:w="0" w:type="auto"/>
            <w:hideMark/>
          </w:tcPr>
          <w:p w14:paraId="49B8A2C3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preventiva (prima dell’esposizione o cambio mansione)</w:t>
            </w:r>
          </w:p>
        </w:tc>
        <w:tc>
          <w:tcPr>
            <w:tcW w:w="0" w:type="auto"/>
            <w:hideMark/>
          </w:tcPr>
          <w:p w14:paraId="4B48F85E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Addetti a mansioni con esposizione CEM significativa o con rischio di effetti indiretti; mansioni in aree/attività dove la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indica attenzione specifica</w:t>
            </w:r>
          </w:p>
        </w:tc>
        <w:tc>
          <w:tcPr>
            <w:tcW w:w="0" w:type="auto"/>
            <w:hideMark/>
          </w:tcPr>
          <w:p w14:paraId="496D0CB5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Anamnesi mirata CEM; identificazione suscettibilità; raccolta info su DMIA/dispositivi indossabili e impianti passivi/inclusi metallici; informazione mirata sui sintomi sensoriali; definizione indicazioni/limitazioni</w:t>
            </w:r>
          </w:p>
        </w:tc>
        <w:tc>
          <w:tcPr>
            <w:tcW w:w="0" w:type="auto"/>
            <w:hideMark/>
          </w:tcPr>
          <w:p w14:paraId="778D5E6E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Prima dell’adibizione; ripetere a ogni cambio mansione/sorgente</w:t>
            </w:r>
          </w:p>
        </w:tc>
        <w:tc>
          <w:tcPr>
            <w:tcW w:w="0" w:type="auto"/>
            <w:hideMark/>
          </w:tcPr>
          <w:p w14:paraId="056CAAA2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Giudizio di idoneità motivato; eventuali limitazioni (aree, distanze, tempi); indicazioni organizzative e formative</w:t>
            </w:r>
          </w:p>
        </w:tc>
      </w:tr>
      <w:tr w:rsidR="000F488E" w:rsidRPr="000F488E" w14:paraId="42D2A509" w14:textId="77777777" w:rsidTr="000F488E">
        <w:tc>
          <w:tcPr>
            <w:tcW w:w="0" w:type="auto"/>
            <w:hideMark/>
          </w:tcPr>
          <w:p w14:paraId="48439F7F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Visita periodica (sorveglianza sanitaria)</w:t>
            </w:r>
          </w:p>
        </w:tc>
        <w:tc>
          <w:tcPr>
            <w:tcW w:w="0" w:type="auto"/>
            <w:hideMark/>
          </w:tcPr>
          <w:p w14:paraId="654A9D55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Lavoratori sottoposti a SS in base a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condizioni individuali, </w:t>
            </w: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con particolare attenzione ai “particolarmente sensibili”</w:t>
            </w:r>
          </w:p>
        </w:tc>
        <w:tc>
          <w:tcPr>
            <w:tcW w:w="0" w:type="auto"/>
            <w:hideMark/>
          </w:tcPr>
          <w:p w14:paraId="7A82A9AE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Aggiornamento anamnesi mirata; verifica eventuali sintomi correlabili a esposizione (es. vertigini, fosfeni, </w:t>
            </w: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nausea, percezioni anomale); verifica cambiamenti clinici/terapie/dispositivi; rinforzo informazione e comportamenti sicuri</w:t>
            </w:r>
          </w:p>
        </w:tc>
        <w:tc>
          <w:tcPr>
            <w:tcW w:w="0" w:type="auto"/>
            <w:hideMark/>
          </w:tcPr>
          <w:p w14:paraId="01B47652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Modulata dal MC in coerenza con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suscettibilità; più ravvicinata per sensibili e per </w:t>
            </w: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scenari critici</w:t>
            </w:r>
          </w:p>
        </w:tc>
        <w:tc>
          <w:tcPr>
            <w:tcW w:w="0" w:type="auto"/>
            <w:hideMark/>
          </w:tcPr>
          <w:p w14:paraId="032BCFE1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Conferma/aggiornamento idoneità; tracciabilità di sintomi/episodi; eventuale proposta di misure </w:t>
            </w: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correttive e revisione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</w:p>
        </w:tc>
      </w:tr>
      <w:tr w:rsidR="000F488E" w:rsidRPr="000F488E" w14:paraId="06C22964" w14:textId="77777777" w:rsidTr="000F488E">
        <w:tc>
          <w:tcPr>
            <w:tcW w:w="0" w:type="auto"/>
            <w:hideMark/>
          </w:tcPr>
          <w:p w14:paraId="261220E2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Gestione lavoratori “particolarmente sensibili” – DMIA (pacemaker/ICD/altro)</w:t>
            </w:r>
          </w:p>
        </w:tc>
        <w:tc>
          <w:tcPr>
            <w:tcW w:w="0" w:type="auto"/>
            <w:hideMark/>
          </w:tcPr>
          <w:p w14:paraId="20844F67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Portatori di dispositivi medici impiantabili attivi e/o dispositivi elettromedicali indossabili, in mansioni con sorgenti CEM potenzialmente interferenti</w:t>
            </w:r>
          </w:p>
        </w:tc>
        <w:tc>
          <w:tcPr>
            <w:tcW w:w="0" w:type="auto"/>
            <w:hideMark/>
          </w:tcPr>
          <w:p w14:paraId="0EE6D8F8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Screening strutturato; valutazione compatibilità mansione–sorgente; definizione di restrizioni (aree interdette, distanze, procedure); informazione mirata; coordinamento con valutazione tecnica e, se necessario, documentazione del dispositivo</w:t>
            </w:r>
          </w:p>
        </w:tc>
        <w:tc>
          <w:tcPr>
            <w:tcW w:w="0" w:type="auto"/>
            <w:hideMark/>
          </w:tcPr>
          <w:p w14:paraId="491E5E90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Rivalutazione a ogni modifica di dispositivo, terapia, mansione o layout impiantistico</w:t>
            </w:r>
          </w:p>
        </w:tc>
        <w:tc>
          <w:tcPr>
            <w:tcW w:w="0" w:type="auto"/>
            <w:hideMark/>
          </w:tcPr>
          <w:p w14:paraId="2D1E8431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 con prescrizioni; procedure di accesso/permessi in aree CEM; aggiornamento formazione specifica</w:t>
            </w:r>
          </w:p>
        </w:tc>
      </w:tr>
      <w:tr w:rsidR="000F488E" w:rsidRPr="000F488E" w14:paraId="5B9F8886" w14:textId="77777777" w:rsidTr="000F488E">
        <w:tc>
          <w:tcPr>
            <w:tcW w:w="0" w:type="auto"/>
            <w:hideMark/>
          </w:tcPr>
          <w:p w14:paraId="61BA8FC8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lavoratori “particolarmente sensibili” – impianti passivi / inclusi metallici</w:t>
            </w:r>
          </w:p>
        </w:tc>
        <w:tc>
          <w:tcPr>
            <w:tcW w:w="0" w:type="auto"/>
            <w:hideMark/>
          </w:tcPr>
          <w:p w14:paraId="4D2ADD2C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Portatori di protesi, viti/placche, clip, schegge, piercing e altri elementi metallici (critico in campi magnetici statici elevati, es. RM)</w:t>
            </w:r>
          </w:p>
        </w:tc>
        <w:tc>
          <w:tcPr>
            <w:tcW w:w="0" w:type="auto"/>
            <w:hideMark/>
          </w:tcPr>
          <w:p w14:paraId="0073C1F2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Anamnesi mirata e identificazione tipo/localizzazione; valutazione rischio in relazione alla sorgente (es. RM); eventuale prescrizione di limitazioni/aree; informazione su sintomi sensoriali e comportamenti</w:t>
            </w:r>
          </w:p>
        </w:tc>
        <w:tc>
          <w:tcPr>
            <w:tcW w:w="0" w:type="auto"/>
            <w:hideMark/>
          </w:tcPr>
          <w:p w14:paraId="73E41609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Rivalutazione a ogni modifica mansione/ambiente o comparsa sintomi</w:t>
            </w:r>
          </w:p>
        </w:tc>
        <w:tc>
          <w:tcPr>
            <w:tcW w:w="0" w:type="auto"/>
            <w:hideMark/>
          </w:tcPr>
          <w:p w14:paraId="102E4F29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 motivata; restrizioni di accesso/percorsi; procedure di sicurezza specifiche</w:t>
            </w:r>
          </w:p>
        </w:tc>
      </w:tr>
      <w:tr w:rsidR="000F488E" w:rsidRPr="000F488E" w14:paraId="16EB4EA8" w14:textId="77777777" w:rsidTr="000F488E">
        <w:tc>
          <w:tcPr>
            <w:tcW w:w="0" w:type="auto"/>
            <w:hideMark/>
          </w:tcPr>
          <w:p w14:paraId="1245521A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gravidanza e tutela condizioni specifiche</w:t>
            </w:r>
          </w:p>
        </w:tc>
        <w:tc>
          <w:tcPr>
            <w:tcW w:w="0" w:type="auto"/>
            <w:hideMark/>
          </w:tcPr>
          <w:p w14:paraId="086B659F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Lavoratrici in gravidanza (e, in generale, condizioni che aumentano la cautela </w:t>
            </w: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gestionale)</w:t>
            </w:r>
          </w:p>
        </w:tc>
        <w:tc>
          <w:tcPr>
            <w:tcW w:w="0" w:type="auto"/>
            <w:hideMark/>
          </w:tcPr>
          <w:p w14:paraId="1B2644C1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Valutazione dedicata basata su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scenario; applicazione di criteri cautelativi; eventuale rimodulazione mansione/tempi/aree; informazione </w:t>
            </w: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mirata</w:t>
            </w:r>
          </w:p>
        </w:tc>
        <w:tc>
          <w:tcPr>
            <w:tcW w:w="0" w:type="auto"/>
            <w:hideMark/>
          </w:tcPr>
          <w:p w14:paraId="2628583D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Rivalutazione periodica in base a evoluzione mansione/condizioni</w:t>
            </w:r>
          </w:p>
        </w:tc>
        <w:tc>
          <w:tcPr>
            <w:tcW w:w="0" w:type="auto"/>
            <w:hideMark/>
          </w:tcPr>
          <w:p w14:paraId="74CDD182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Indicazioni organizzative e, se necessario, cambio mansione/limitazioni per garantire tutela</w:t>
            </w:r>
          </w:p>
        </w:tc>
      </w:tr>
      <w:tr w:rsidR="000F488E" w:rsidRPr="000F488E" w14:paraId="7EC900ED" w14:textId="77777777" w:rsidTr="000F488E">
        <w:tc>
          <w:tcPr>
            <w:tcW w:w="0" w:type="auto"/>
            <w:hideMark/>
          </w:tcPr>
          <w:p w14:paraId="5C354232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straordinario (evento/sintomi/superamenti)</w:t>
            </w:r>
          </w:p>
        </w:tc>
        <w:tc>
          <w:tcPr>
            <w:tcW w:w="0" w:type="auto"/>
            <w:hideMark/>
          </w:tcPr>
          <w:p w14:paraId="023956BA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Lavoratori che segnalano sintomi associabili a esposizione; casi in cui la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i rilievi evidenziano condizioni critiche; incidenti/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correlabili a effetti sensoriali</w:t>
            </w:r>
          </w:p>
        </w:tc>
        <w:tc>
          <w:tcPr>
            <w:tcW w:w="0" w:type="auto"/>
            <w:hideMark/>
          </w:tcPr>
          <w:p w14:paraId="6CC0D9E3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clinica mirata; analisi nesso mansione–sorgente; richiesta di approfondimenti tecnici (misure/ricostruzione esposizione); eventuale sospensione/limitazione temporanea e rivalutazione idoneità</w:t>
            </w:r>
          </w:p>
        </w:tc>
        <w:tc>
          <w:tcPr>
            <w:tcW w:w="0" w:type="auto"/>
            <w:hideMark/>
          </w:tcPr>
          <w:p w14:paraId="3D73BBC6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“A evento”</w:t>
            </w:r>
          </w:p>
        </w:tc>
        <w:tc>
          <w:tcPr>
            <w:tcW w:w="0" w:type="auto"/>
            <w:hideMark/>
          </w:tcPr>
          <w:p w14:paraId="1BF77179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Aggiornamento idoneità; indicazioni correttive e preventive; input per revisione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formazione</w:t>
            </w:r>
          </w:p>
        </w:tc>
      </w:tr>
      <w:tr w:rsidR="000F488E" w:rsidRPr="000F488E" w14:paraId="46841653" w14:textId="77777777" w:rsidTr="000F488E">
        <w:tc>
          <w:tcPr>
            <w:tcW w:w="0" w:type="auto"/>
            <w:hideMark/>
          </w:tcPr>
          <w:p w14:paraId="0035795D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Informazione/formazione sanitaria specifica (parte integrante del protocollo)</w:t>
            </w:r>
          </w:p>
        </w:tc>
        <w:tc>
          <w:tcPr>
            <w:tcW w:w="0" w:type="auto"/>
            <w:hideMark/>
          </w:tcPr>
          <w:p w14:paraId="1E7DA29A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Tutti gli esposti e soprattutto sensibili; preposti/figure operative in aree CEM</w:t>
            </w:r>
          </w:p>
        </w:tc>
        <w:tc>
          <w:tcPr>
            <w:tcW w:w="0" w:type="auto"/>
            <w:hideMark/>
          </w:tcPr>
          <w:p w14:paraId="54D3C22A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Contenuti su effetti diretti/indiretti; sintomi sensoriali e gestione; regole di accesso e distanze; comportamenti sicuri; segnalazione precoce sintomi</w:t>
            </w:r>
          </w:p>
        </w:tc>
        <w:tc>
          <w:tcPr>
            <w:tcW w:w="0" w:type="auto"/>
            <w:hideMark/>
          </w:tcPr>
          <w:p w14:paraId="5ACCB3C7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All’avvio mansione e aggiornamento periodico; refresh dopo modifiche impianti/procedure</w:t>
            </w:r>
          </w:p>
        </w:tc>
        <w:tc>
          <w:tcPr>
            <w:tcW w:w="0" w:type="auto"/>
            <w:hideMark/>
          </w:tcPr>
          <w:p w14:paraId="7A19B00F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formativa; riduzione errori comportamentali; miglior gestione segnalazioni</w:t>
            </w:r>
          </w:p>
        </w:tc>
      </w:tr>
      <w:tr w:rsidR="000F488E" w:rsidRPr="000F488E" w14:paraId="15A9668E" w14:textId="77777777" w:rsidTr="000F488E">
        <w:tc>
          <w:tcPr>
            <w:tcW w:w="0" w:type="auto"/>
            <w:hideMark/>
          </w:tcPr>
          <w:p w14:paraId="54595720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Integrazione con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sopralluoghi mirati</w:t>
            </w:r>
          </w:p>
        </w:tc>
        <w:tc>
          <w:tcPr>
            <w:tcW w:w="0" w:type="auto"/>
            <w:hideMark/>
          </w:tcPr>
          <w:p w14:paraId="027052D3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Tutte le unità operative con sorgenti CEM; processi con variabilità espositiva</w:t>
            </w:r>
          </w:p>
        </w:tc>
        <w:tc>
          <w:tcPr>
            <w:tcW w:w="0" w:type="auto"/>
            <w:hideMark/>
          </w:tcPr>
          <w:p w14:paraId="2A262738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Collaborazione MC–RSPP–valutatore tecnico; sopralluoghi in aree critiche; verifica procedure; definizione gruppi omogenei e criteri di inclusione SS</w:t>
            </w:r>
          </w:p>
        </w:tc>
        <w:tc>
          <w:tcPr>
            <w:tcW w:w="0" w:type="auto"/>
            <w:hideMark/>
          </w:tcPr>
          <w:p w14:paraId="14BB5C86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Periodica e comunque a modifiche impiantistiche/procedurali</w:t>
            </w:r>
          </w:p>
        </w:tc>
        <w:tc>
          <w:tcPr>
            <w:tcW w:w="0" w:type="auto"/>
            <w:hideMark/>
          </w:tcPr>
          <w:p w14:paraId="72D94E9A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Coerenza tra </w:t>
            </w:r>
            <w:proofErr w:type="spellStart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VdR</w:t>
            </w:r>
            <w:proofErr w:type="spellEnd"/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protocollo sanitario; aggiornamento criteri di inclusione e misure prevenzione/protezione</w:t>
            </w:r>
          </w:p>
        </w:tc>
      </w:tr>
      <w:tr w:rsidR="000F488E" w:rsidRPr="000F488E" w14:paraId="11DD8174" w14:textId="77777777" w:rsidTr="000F488E">
        <w:tc>
          <w:tcPr>
            <w:tcW w:w="0" w:type="auto"/>
            <w:hideMark/>
          </w:tcPr>
          <w:p w14:paraId="1ED00BC3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Registrazione sanitaria e reporting collettivo</w:t>
            </w:r>
          </w:p>
        </w:tc>
        <w:tc>
          <w:tcPr>
            <w:tcW w:w="0" w:type="auto"/>
            <w:hideMark/>
          </w:tcPr>
          <w:p w14:paraId="2E5FF7D4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 in SS</w:t>
            </w:r>
          </w:p>
        </w:tc>
        <w:tc>
          <w:tcPr>
            <w:tcW w:w="0" w:type="auto"/>
            <w:hideMark/>
          </w:tcPr>
          <w:p w14:paraId="32B35E80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Registrazione esiti visite e prescrizioni; gestione riservatezza; elaborazione dati sanitari collettivi (senza dati individuali) per feedback al sistema prevenzionistico</w:t>
            </w:r>
          </w:p>
        </w:tc>
        <w:tc>
          <w:tcPr>
            <w:tcW w:w="0" w:type="auto"/>
            <w:hideMark/>
          </w:tcPr>
          <w:p w14:paraId="263D3037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Continuativa; reporting periodico</w:t>
            </w:r>
          </w:p>
        </w:tc>
        <w:tc>
          <w:tcPr>
            <w:tcW w:w="0" w:type="auto"/>
            <w:hideMark/>
          </w:tcPr>
          <w:p w14:paraId="146F6E0C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Miglioramento continuo (azioni correttive, revisione procedure); tracciabilità e difendibilità</w:t>
            </w:r>
          </w:p>
        </w:tc>
      </w:tr>
      <w:tr w:rsidR="000F488E" w:rsidRPr="000F488E" w14:paraId="1FEFC216" w14:textId="77777777" w:rsidTr="000F488E">
        <w:tc>
          <w:tcPr>
            <w:tcW w:w="0" w:type="auto"/>
            <w:hideMark/>
          </w:tcPr>
          <w:p w14:paraId="79BBF05E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Cessazione esposizione / cambio definitivo mansione</w:t>
            </w:r>
          </w:p>
        </w:tc>
        <w:tc>
          <w:tcPr>
            <w:tcW w:w="0" w:type="auto"/>
            <w:hideMark/>
          </w:tcPr>
          <w:p w14:paraId="3A012CF3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Lavoratori che cessano l’esposizione significativa o passano a mansioni non esposte</w:t>
            </w:r>
          </w:p>
        </w:tc>
        <w:tc>
          <w:tcPr>
            <w:tcW w:w="0" w:type="auto"/>
            <w:hideMark/>
          </w:tcPr>
          <w:p w14:paraId="5A264835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finale se clinicamente indicata o se presenti sintomi; aggiornamento cartella sanitaria; indicazioni residue</w:t>
            </w:r>
          </w:p>
        </w:tc>
        <w:tc>
          <w:tcPr>
            <w:tcW w:w="0" w:type="auto"/>
            <w:hideMark/>
          </w:tcPr>
          <w:p w14:paraId="09AD029B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 cessazione/cambio</w:t>
            </w:r>
          </w:p>
        </w:tc>
        <w:tc>
          <w:tcPr>
            <w:tcW w:w="0" w:type="auto"/>
            <w:hideMark/>
          </w:tcPr>
          <w:p w14:paraId="4D49B69F" w14:textId="77777777" w:rsidR="000F488E" w:rsidRPr="000F488E" w:rsidRDefault="000F488E" w:rsidP="000F48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F48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Chiusura coerente del percorso sanitario; indicazioni per eventuali controlli successivi se necessari</w:t>
            </w:r>
          </w:p>
        </w:tc>
      </w:tr>
    </w:tbl>
    <w:p w14:paraId="6A8156BE" w14:textId="77777777" w:rsidR="000F488E" w:rsidRDefault="000F488E"/>
    <w:sectPr w:rsidR="000F488E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488E"/>
    <w:rsid w:val="000F488E"/>
    <w:rsid w:val="00336AF8"/>
    <w:rsid w:val="003A7D38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D1EFD"/>
  <w15:chartTrackingRefBased/>
  <w15:docId w15:val="{DF7FA947-26D2-424A-8D0D-8E474FE7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4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4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4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4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4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4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4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4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4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4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4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4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48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48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48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48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48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48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4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4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4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4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4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48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48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48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4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48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488E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F4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1046</Words>
  <Characters>7507</Characters>
  <Application>Microsoft Office Word</Application>
  <DocSecurity>0</DocSecurity>
  <Lines>326</Lines>
  <Paragraphs>127</Paragraphs>
  <ScaleCrop>false</ScaleCrop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2026-01-21T11:41:00Z</dcterms:created>
  <dcterms:modified xsi:type="dcterms:W3CDTF">2026-01-21T11:44:00Z</dcterms:modified>
</cp:coreProperties>
</file>