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19F8C" w14:textId="77777777" w:rsidR="006A1DC0" w:rsidRDefault="00000000">
      <w:pPr>
        <w:pStyle w:val="Titolo"/>
      </w:pPr>
      <w:r>
        <w:t>SCADENZE DELLE VALUTAZIONI DEI RISCHI SPECIFICI</w:t>
      </w:r>
    </w:p>
    <w:p w14:paraId="28729C1F" w14:textId="77777777" w:rsidR="006A1DC0" w:rsidRDefault="00000000">
      <w:r>
        <w:rPr>
          <w:b/>
        </w:rPr>
        <w:t>Quadro professionale 2026  |  Periodicità obbligatorie, riesami e gestione antincendio</w:t>
      </w:r>
    </w:p>
    <w:p w14:paraId="4FDC1811" w14:textId="77777777" w:rsidR="006A1DC0" w:rsidRDefault="00000000">
      <w:r>
        <w:t>LEGENDA  ● 3 ANNI = rivalutazione obbligatoria   ● 4 ANNI = rivalutazione obbligatoria   ● SENZA TERMINE FISSO = aggiornamento al ricorrere dei presupposti normativi   ● PERIODICO = riesame richiesto senza intervallo numerico.</w:t>
      </w:r>
    </w:p>
    <w:p w14:paraId="499436F7" w14:textId="77777777" w:rsidR="006A1DC0" w:rsidRDefault="00000000">
      <w:pPr>
        <w:pStyle w:val="Titolo1"/>
      </w:pPr>
      <w:r>
        <w:t>01 | MATRICE DELLE VALUTAZIONI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9"/>
        <w:gridCol w:w="3039"/>
        <w:gridCol w:w="3039"/>
        <w:gridCol w:w="3039"/>
        <w:gridCol w:w="3039"/>
      </w:tblGrid>
      <w:tr w:rsidR="006A1DC0" w14:paraId="15BF2A13" w14:textId="77777777">
        <w:trPr>
          <w:tblHeader/>
          <w:jc w:val="center"/>
        </w:trPr>
        <w:tc>
          <w:tcPr>
            <w:tcW w:w="3039" w:type="dxa"/>
            <w:shd w:val="clear" w:color="auto" w:fill="123A61"/>
          </w:tcPr>
          <w:p w14:paraId="560D860F" w14:textId="77777777" w:rsidR="006A1DC0" w:rsidRDefault="00000000">
            <w:r>
              <w:rPr>
                <w:b/>
                <w:color w:val="FFFFFF"/>
                <w:sz w:val="16"/>
              </w:rPr>
              <w:t>RISCHIO</w:t>
            </w:r>
          </w:p>
        </w:tc>
        <w:tc>
          <w:tcPr>
            <w:tcW w:w="3039" w:type="dxa"/>
            <w:shd w:val="clear" w:color="auto" w:fill="123A61"/>
          </w:tcPr>
          <w:p w14:paraId="5FDCCF9B" w14:textId="77777777" w:rsidR="006A1DC0" w:rsidRDefault="00000000">
            <w:r>
              <w:rPr>
                <w:b/>
                <w:color w:val="FFFFFF"/>
                <w:sz w:val="16"/>
              </w:rPr>
              <w:t>SCADENZA / PERIODICITÀ</w:t>
            </w:r>
          </w:p>
        </w:tc>
        <w:tc>
          <w:tcPr>
            <w:tcW w:w="3039" w:type="dxa"/>
            <w:shd w:val="clear" w:color="auto" w:fill="123A61"/>
          </w:tcPr>
          <w:p w14:paraId="35154533" w14:textId="77777777" w:rsidR="006A1DC0" w:rsidRDefault="00000000">
            <w:r>
              <w:rPr>
                <w:b/>
                <w:color w:val="FFFFFF"/>
                <w:sz w:val="16"/>
              </w:rPr>
              <w:t>NATURA DEL TERMINE</w:t>
            </w:r>
          </w:p>
        </w:tc>
        <w:tc>
          <w:tcPr>
            <w:tcW w:w="3039" w:type="dxa"/>
            <w:shd w:val="clear" w:color="auto" w:fill="123A61"/>
          </w:tcPr>
          <w:p w14:paraId="0C0C91D8" w14:textId="77777777" w:rsidR="006A1DC0" w:rsidRDefault="00000000">
            <w:r>
              <w:rPr>
                <w:b/>
                <w:color w:val="FFFFFF"/>
                <w:sz w:val="16"/>
              </w:rPr>
              <w:t>RIFERIMENTO</w:t>
            </w:r>
          </w:p>
        </w:tc>
        <w:tc>
          <w:tcPr>
            <w:tcW w:w="3039" w:type="dxa"/>
            <w:shd w:val="clear" w:color="auto" w:fill="123A61"/>
          </w:tcPr>
          <w:p w14:paraId="5943B68D" w14:textId="77777777" w:rsidR="006A1DC0" w:rsidRDefault="00000000">
            <w:r>
              <w:rPr>
                <w:b/>
                <w:color w:val="FFFFFF"/>
                <w:sz w:val="16"/>
              </w:rPr>
              <w:t>NOTE APPLICATIVE</w:t>
            </w:r>
          </w:p>
        </w:tc>
      </w:tr>
      <w:tr w:rsidR="006A1DC0" w14:paraId="788FDDDE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61BDCF2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Agenti cancerogeni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9BFEF9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3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35856F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F0C2D8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236, c. 5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13B3C9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Anticipare per modifiche significative; verificare campo di applicazione del Capo II.</w:t>
            </w:r>
          </w:p>
        </w:tc>
      </w:tr>
      <w:tr w:rsidR="006A1DC0" w14:paraId="26122EC9" w14:textId="77777777">
        <w:trPr>
          <w:jc w:val="center"/>
        </w:trPr>
        <w:tc>
          <w:tcPr>
            <w:tcW w:w="3039" w:type="dxa"/>
            <w:vAlign w:val="center"/>
          </w:tcPr>
          <w:p w14:paraId="423F814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Agenti mutageni</w:t>
            </w:r>
          </w:p>
        </w:tc>
        <w:tc>
          <w:tcPr>
            <w:tcW w:w="3039" w:type="dxa"/>
            <w:vAlign w:val="center"/>
          </w:tcPr>
          <w:p w14:paraId="194ECBA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3 anni</w:t>
            </w:r>
          </w:p>
        </w:tc>
        <w:tc>
          <w:tcPr>
            <w:tcW w:w="3039" w:type="dxa"/>
            <w:vAlign w:val="center"/>
          </w:tcPr>
          <w:p w14:paraId="7EE8414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2F1D18A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236, c. 5</w:t>
            </w:r>
          </w:p>
        </w:tc>
        <w:tc>
          <w:tcPr>
            <w:tcW w:w="3039" w:type="dxa"/>
            <w:vAlign w:val="center"/>
          </w:tcPr>
          <w:p w14:paraId="0A48CDF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Come per cancerogeni; documentare esposizioni e misure.</w:t>
            </w:r>
          </w:p>
        </w:tc>
      </w:tr>
      <w:tr w:rsidR="006A1DC0" w14:paraId="3E09F461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2299956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Sostanze tossiche per la riproduzione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7904AB9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3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336A0C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1C3010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236, c. 5; D.Lgs. 135/2024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10B6AB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Applicare alle sostanze ricomprese nella disciplina del Capo II.</w:t>
            </w:r>
          </w:p>
        </w:tc>
      </w:tr>
      <w:tr w:rsidR="006A1DC0" w14:paraId="4BCD9313" w14:textId="77777777">
        <w:trPr>
          <w:jc w:val="center"/>
        </w:trPr>
        <w:tc>
          <w:tcPr>
            <w:tcW w:w="3039" w:type="dxa"/>
            <w:vAlign w:val="center"/>
          </w:tcPr>
          <w:p w14:paraId="1EF0F76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Agenti biologici</w:t>
            </w:r>
          </w:p>
        </w:tc>
        <w:tc>
          <w:tcPr>
            <w:tcW w:w="3039" w:type="dxa"/>
            <w:vAlign w:val="center"/>
          </w:tcPr>
          <w:p w14:paraId="1D5096F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3 anni</w:t>
            </w:r>
          </w:p>
        </w:tc>
        <w:tc>
          <w:tcPr>
            <w:tcW w:w="3039" w:type="dxa"/>
            <w:vAlign w:val="center"/>
          </w:tcPr>
          <w:p w14:paraId="37BC6C6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5298849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271, c. 3</w:t>
            </w:r>
          </w:p>
        </w:tc>
        <w:tc>
          <w:tcPr>
            <w:tcW w:w="3039" w:type="dxa"/>
            <w:vAlign w:val="center"/>
          </w:tcPr>
          <w:p w14:paraId="40244DE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Anche per esposizioni potenziali nelle attività soggette al Titolo X.</w:t>
            </w:r>
          </w:p>
        </w:tc>
      </w:tr>
      <w:tr w:rsidR="006A1DC0" w14:paraId="5E6A71EE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289018E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Rumore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B18C11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FB57C4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06CBA1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2; art. 190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62B83C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Non equivale a ripetizione automatica delle misure fonometriche.</w:t>
            </w:r>
          </w:p>
        </w:tc>
      </w:tr>
      <w:tr w:rsidR="006A1DC0" w14:paraId="29356732" w14:textId="77777777">
        <w:trPr>
          <w:jc w:val="center"/>
        </w:trPr>
        <w:tc>
          <w:tcPr>
            <w:tcW w:w="3039" w:type="dxa"/>
            <w:vAlign w:val="center"/>
          </w:tcPr>
          <w:p w14:paraId="34A1AA1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Vibrazioni mano-braccio HAV</w:t>
            </w:r>
          </w:p>
        </w:tc>
        <w:tc>
          <w:tcPr>
            <w:tcW w:w="3039" w:type="dxa"/>
            <w:vAlign w:val="center"/>
          </w:tcPr>
          <w:p w14:paraId="39077DD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vAlign w:val="center"/>
          </w:tcPr>
          <w:p w14:paraId="6F73652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38FBED3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2; art. 202</w:t>
            </w:r>
          </w:p>
        </w:tc>
        <w:tc>
          <w:tcPr>
            <w:tcW w:w="3039" w:type="dxa"/>
            <w:vAlign w:val="center"/>
          </w:tcPr>
          <w:p w14:paraId="33C860C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Rivedere per utensili, tempi, condizioni d’impiego.</w:t>
            </w:r>
          </w:p>
        </w:tc>
      </w:tr>
      <w:tr w:rsidR="006A1DC0" w14:paraId="31D459B4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00C4A5C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Vibrazioni corpo intero WBV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1318C17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7C3144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1EEAF0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2; art. 202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CBE0BB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Considerare mezzi, sedili, superfici e durata.</w:t>
            </w:r>
          </w:p>
        </w:tc>
      </w:tr>
      <w:tr w:rsidR="006A1DC0" w14:paraId="23869745" w14:textId="77777777">
        <w:trPr>
          <w:jc w:val="center"/>
        </w:trPr>
        <w:tc>
          <w:tcPr>
            <w:tcW w:w="3039" w:type="dxa"/>
            <w:vAlign w:val="center"/>
          </w:tcPr>
          <w:p w14:paraId="3A82094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Microclima caldo / freddo / moderato</w:t>
            </w:r>
          </w:p>
        </w:tc>
        <w:tc>
          <w:tcPr>
            <w:tcW w:w="3039" w:type="dxa"/>
            <w:vAlign w:val="center"/>
          </w:tcPr>
          <w:p w14:paraId="29AB068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vAlign w:val="center"/>
          </w:tcPr>
          <w:p w14:paraId="2125DD5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44A9B90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</w:t>
            </w:r>
          </w:p>
        </w:tc>
        <w:tc>
          <w:tcPr>
            <w:tcW w:w="3039" w:type="dxa"/>
            <w:vAlign w:val="center"/>
          </w:tcPr>
          <w:p w14:paraId="3E2B707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Eventi meteo richiedono gestione tempestiva indipendente dal ciclo quadriennale.</w:t>
            </w:r>
          </w:p>
        </w:tc>
      </w:tr>
      <w:tr w:rsidR="006A1DC0" w14:paraId="27A2350D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7D65E63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Campi elettromagnetici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93DB60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F7C1F1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7C2010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2; art. 209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8AD9E6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Particolare attenzione a impianti e lavoratori sensibili.</w:t>
            </w:r>
          </w:p>
        </w:tc>
      </w:tr>
      <w:tr w:rsidR="006A1DC0" w14:paraId="353189D9" w14:textId="77777777">
        <w:trPr>
          <w:jc w:val="center"/>
        </w:trPr>
        <w:tc>
          <w:tcPr>
            <w:tcW w:w="3039" w:type="dxa"/>
            <w:vAlign w:val="center"/>
          </w:tcPr>
          <w:p w14:paraId="14D9FB9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Radiazioni ottiche artificiali</w:t>
            </w:r>
          </w:p>
        </w:tc>
        <w:tc>
          <w:tcPr>
            <w:tcW w:w="3039" w:type="dxa"/>
            <w:vAlign w:val="center"/>
          </w:tcPr>
          <w:p w14:paraId="09953E0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vAlign w:val="center"/>
          </w:tcPr>
          <w:p w14:paraId="3D793D2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6F2CCEB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181, c. 2; art. 216</w:t>
            </w:r>
          </w:p>
        </w:tc>
        <w:tc>
          <w:tcPr>
            <w:tcW w:w="3039" w:type="dxa"/>
            <w:vAlign w:val="center"/>
          </w:tcPr>
          <w:p w14:paraId="250468B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per modifiche delle sorgenti o schermature.</w:t>
            </w:r>
          </w:p>
        </w:tc>
      </w:tr>
      <w:tr w:rsidR="006A1DC0" w14:paraId="4AA3FD2C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4882161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Laser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197069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9E3ACB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0E65994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181 e 216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AB55C5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Laser ricompresi nelle radiazioni ottiche artificiali.</w:t>
            </w:r>
          </w:p>
        </w:tc>
      </w:tr>
      <w:tr w:rsidR="006A1DC0" w14:paraId="2DA540C9" w14:textId="77777777">
        <w:trPr>
          <w:jc w:val="center"/>
        </w:trPr>
        <w:tc>
          <w:tcPr>
            <w:tcW w:w="3039" w:type="dxa"/>
            <w:vAlign w:val="center"/>
          </w:tcPr>
          <w:p w14:paraId="1034681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Ultrasuoni / infrasuoni</w:t>
            </w:r>
          </w:p>
        </w:tc>
        <w:tc>
          <w:tcPr>
            <w:tcW w:w="3039" w:type="dxa"/>
            <w:vAlign w:val="center"/>
          </w:tcPr>
          <w:p w14:paraId="4589EB6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4 anni</w:t>
            </w:r>
          </w:p>
        </w:tc>
        <w:tc>
          <w:tcPr>
            <w:tcW w:w="3039" w:type="dxa"/>
            <w:vAlign w:val="center"/>
          </w:tcPr>
          <w:p w14:paraId="5719DA3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Obbligatoria</w:t>
            </w:r>
          </w:p>
        </w:tc>
        <w:tc>
          <w:tcPr>
            <w:tcW w:w="3039" w:type="dxa"/>
            <w:vAlign w:val="center"/>
          </w:tcPr>
          <w:p w14:paraId="15D44D9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180-181</w:t>
            </w:r>
          </w:p>
        </w:tc>
        <w:tc>
          <w:tcPr>
            <w:tcW w:w="3039" w:type="dxa"/>
            <w:vAlign w:val="center"/>
          </w:tcPr>
          <w:p w14:paraId="0CB2424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Verificare pertinenti esposizioni e criteri tecnici.</w:t>
            </w:r>
          </w:p>
        </w:tc>
      </w:tr>
      <w:tr w:rsidR="006A1DC0" w14:paraId="6203E627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37B3323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Agenti chimici pericolosi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70994D1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Periodico; nessun numero di anni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42FCD5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Obbligo di aggiornamento periodico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78E555D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223, c. 7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111B5E7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Non attribuire automaticamente 3 anni; modifiche e sorveglianza possono anticipare.</w:t>
            </w:r>
          </w:p>
        </w:tc>
      </w:tr>
      <w:tr w:rsidR="006A1DC0" w14:paraId="04269A60" w14:textId="77777777">
        <w:trPr>
          <w:jc w:val="center"/>
        </w:trPr>
        <w:tc>
          <w:tcPr>
            <w:tcW w:w="3039" w:type="dxa"/>
            <w:vAlign w:val="center"/>
          </w:tcPr>
          <w:p w14:paraId="4AA147B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Atmosfere esplosive ATEX</w:t>
            </w:r>
          </w:p>
        </w:tc>
        <w:tc>
          <w:tcPr>
            <w:tcW w:w="3039" w:type="dxa"/>
            <w:vAlign w:val="center"/>
          </w:tcPr>
          <w:p w14:paraId="2849711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2483E32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72AF508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290 e 294</w:t>
            </w:r>
          </w:p>
        </w:tc>
        <w:tc>
          <w:tcPr>
            <w:tcW w:w="3039" w:type="dxa"/>
            <w:vAlign w:val="center"/>
          </w:tcPr>
          <w:p w14:paraId="4AB1055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Documento protezione esplosioni: rivedere per modifiche rilevanti.</w:t>
            </w:r>
          </w:p>
        </w:tc>
      </w:tr>
      <w:tr w:rsidR="006A1DC0" w14:paraId="4D3C11A0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57FCF81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Incendio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1EC6726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E20CB4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0B22B95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29; D.M. 3/9/2021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E2DC71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Non confondere con rinnovo conformità VVF o esercitazioni.</w:t>
            </w:r>
          </w:p>
        </w:tc>
      </w:tr>
      <w:tr w:rsidR="006A1DC0" w14:paraId="20E9E883" w14:textId="77777777">
        <w:trPr>
          <w:jc w:val="center"/>
        </w:trPr>
        <w:tc>
          <w:tcPr>
            <w:tcW w:w="3039" w:type="dxa"/>
            <w:vAlign w:val="center"/>
          </w:tcPr>
          <w:p w14:paraId="147D178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lastRenderedPageBreak/>
              <w:t>Movimentazione manuale carichi</w:t>
            </w:r>
          </w:p>
        </w:tc>
        <w:tc>
          <w:tcPr>
            <w:tcW w:w="3039" w:type="dxa"/>
            <w:vAlign w:val="center"/>
          </w:tcPr>
          <w:p w14:paraId="1DFC0E7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69C42AE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25AE857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 e 168</w:t>
            </w:r>
          </w:p>
        </w:tc>
        <w:tc>
          <w:tcPr>
            <w:tcW w:w="3039" w:type="dxa"/>
            <w:vAlign w:val="center"/>
          </w:tcPr>
          <w:p w14:paraId="3342B36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Sollevamento, trasporto; riesame per pesi, frequenze, distanze.</w:t>
            </w:r>
          </w:p>
        </w:tc>
      </w:tr>
      <w:tr w:rsidR="006A1DC0" w14:paraId="32D0B88C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4889BED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Traino e spinta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76BCC8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D91F8E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406E06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 e 168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6DACBF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per carichi, ruote, percorsi, frequenze.</w:t>
            </w:r>
          </w:p>
        </w:tc>
      </w:tr>
      <w:tr w:rsidR="006A1DC0" w14:paraId="2E5EBBE6" w14:textId="77777777">
        <w:trPr>
          <w:jc w:val="center"/>
        </w:trPr>
        <w:tc>
          <w:tcPr>
            <w:tcW w:w="3039" w:type="dxa"/>
            <w:vAlign w:val="center"/>
          </w:tcPr>
          <w:p w14:paraId="0C44B49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Movimenti ripetitivi</w:t>
            </w:r>
          </w:p>
        </w:tc>
        <w:tc>
          <w:tcPr>
            <w:tcW w:w="3039" w:type="dxa"/>
            <w:vAlign w:val="center"/>
          </w:tcPr>
          <w:p w14:paraId="42CFF31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3EAEBAF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5046586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 e 168</w:t>
            </w:r>
          </w:p>
        </w:tc>
        <w:tc>
          <w:tcPr>
            <w:tcW w:w="3039" w:type="dxa"/>
            <w:vAlign w:val="center"/>
          </w:tcPr>
          <w:p w14:paraId="35B9A79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Cicli, forza, posture, recuperi e organizzazione.</w:t>
            </w:r>
          </w:p>
        </w:tc>
      </w:tr>
      <w:tr w:rsidR="006A1DC0" w14:paraId="10C47CB0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035B25F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Videoterminali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ACB820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C47A9C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7448CDF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174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8138AE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Sorveglianza sanitaria segue distinta periodicità.</w:t>
            </w:r>
          </w:p>
        </w:tc>
      </w:tr>
      <w:tr w:rsidR="006A1DC0" w14:paraId="7A4A7042" w14:textId="77777777">
        <w:trPr>
          <w:jc w:val="center"/>
        </w:trPr>
        <w:tc>
          <w:tcPr>
            <w:tcW w:w="3039" w:type="dxa"/>
            <w:vAlign w:val="center"/>
          </w:tcPr>
          <w:p w14:paraId="5CF02B5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Stress lavoro-correlato</w:t>
            </w:r>
          </w:p>
        </w:tc>
        <w:tc>
          <w:tcPr>
            <w:tcW w:w="3039" w:type="dxa"/>
            <w:vAlign w:val="center"/>
          </w:tcPr>
          <w:p w14:paraId="04BB029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15603DB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282C78E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28-29</w:t>
            </w:r>
          </w:p>
        </w:tc>
        <w:tc>
          <w:tcPr>
            <w:tcW w:w="3039" w:type="dxa"/>
            <w:vAlign w:val="center"/>
          </w:tcPr>
          <w:p w14:paraId="4D275DE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Monitorare eventi sentinella e cambiamenti organizzativi.</w:t>
            </w:r>
          </w:p>
        </w:tc>
      </w:tr>
      <w:tr w:rsidR="006A1DC0" w14:paraId="7FDEDD1D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14C1922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Lavoro notturno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110DDD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F1CAFF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A969B0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28-29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EC6134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Distinguere da visite e controlli sanitari specifici.</w:t>
            </w:r>
          </w:p>
        </w:tc>
      </w:tr>
      <w:tr w:rsidR="006A1DC0" w14:paraId="6211232B" w14:textId="77777777">
        <w:trPr>
          <w:jc w:val="center"/>
        </w:trPr>
        <w:tc>
          <w:tcPr>
            <w:tcW w:w="3039" w:type="dxa"/>
            <w:vAlign w:val="center"/>
          </w:tcPr>
          <w:p w14:paraId="23D59C9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Rischio elettrico</w:t>
            </w:r>
          </w:p>
        </w:tc>
        <w:tc>
          <w:tcPr>
            <w:tcW w:w="3039" w:type="dxa"/>
            <w:vAlign w:val="center"/>
          </w:tcPr>
          <w:p w14:paraId="54E44A6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5507488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1377421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80</w:t>
            </w:r>
          </w:p>
        </w:tc>
        <w:tc>
          <w:tcPr>
            <w:tcW w:w="3039" w:type="dxa"/>
            <w:vAlign w:val="center"/>
          </w:tcPr>
          <w:p w14:paraId="612EF8F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Verifiche impianti ex DPR 462/2001 sono obblighi diversi.</w:t>
            </w:r>
          </w:p>
        </w:tc>
      </w:tr>
      <w:tr w:rsidR="006A1DC0" w14:paraId="3858F1CA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467F1ED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Cadute dall’alto / lavori in quota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15CFA98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AA75E1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61D134C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 e 111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31E1A3E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In cantiere aggiornare anche PSC/POS/PiMUS quando dovuto.</w:t>
            </w:r>
          </w:p>
        </w:tc>
      </w:tr>
      <w:tr w:rsidR="006A1DC0" w14:paraId="62EFB3A6" w14:textId="77777777">
        <w:trPr>
          <w:jc w:val="center"/>
        </w:trPr>
        <w:tc>
          <w:tcPr>
            <w:tcW w:w="3039" w:type="dxa"/>
            <w:vAlign w:val="center"/>
          </w:tcPr>
          <w:p w14:paraId="4740A04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Violenza, molestie, aggressioni</w:t>
            </w:r>
          </w:p>
        </w:tc>
        <w:tc>
          <w:tcPr>
            <w:tcW w:w="3039" w:type="dxa"/>
            <w:vAlign w:val="center"/>
          </w:tcPr>
          <w:p w14:paraId="1552CCF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248D160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5392507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28-29</w:t>
            </w:r>
          </w:p>
        </w:tc>
        <w:tc>
          <w:tcPr>
            <w:tcW w:w="3039" w:type="dxa"/>
            <w:vAlign w:val="center"/>
          </w:tcPr>
          <w:p w14:paraId="2F26149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Riesaminare eventi, segnalazioni e cambiamenti del contesto.</w:t>
            </w:r>
          </w:p>
        </w:tc>
      </w:tr>
      <w:tr w:rsidR="006A1DC0" w14:paraId="55E00103" w14:textId="77777777">
        <w:trPr>
          <w:jc w:val="center"/>
        </w:trPr>
        <w:tc>
          <w:tcPr>
            <w:tcW w:w="3039" w:type="dxa"/>
            <w:shd w:val="clear" w:color="auto" w:fill="EEF4F9"/>
            <w:vAlign w:val="center"/>
          </w:tcPr>
          <w:p w14:paraId="20CBD14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Rapine / contatto col pubblico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46277E4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7425726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5BA344E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Artt. 28-29</w:t>
            </w:r>
          </w:p>
        </w:tc>
        <w:tc>
          <w:tcPr>
            <w:tcW w:w="3039" w:type="dxa"/>
            <w:shd w:val="clear" w:color="auto" w:fill="EEF4F9"/>
            <w:vAlign w:val="center"/>
          </w:tcPr>
          <w:p w14:paraId="2197C15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Valutazione proporzionata alle mansioni e agli eventi.</w:t>
            </w:r>
          </w:p>
        </w:tc>
      </w:tr>
      <w:tr w:rsidR="006A1DC0" w14:paraId="61564EDF" w14:textId="77777777">
        <w:trPr>
          <w:jc w:val="center"/>
        </w:trPr>
        <w:tc>
          <w:tcPr>
            <w:tcW w:w="3039" w:type="dxa"/>
            <w:vAlign w:val="center"/>
          </w:tcPr>
          <w:p w14:paraId="0D93BFF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Tutela maternità e lavoratori sensibili</w:t>
            </w:r>
          </w:p>
        </w:tc>
        <w:tc>
          <w:tcPr>
            <w:tcW w:w="3039" w:type="dxa"/>
            <w:vAlign w:val="center"/>
          </w:tcPr>
          <w:p w14:paraId="7837FB1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 termine fisso</w:t>
            </w:r>
          </w:p>
        </w:tc>
        <w:tc>
          <w:tcPr>
            <w:tcW w:w="3039" w:type="dxa"/>
            <w:vAlign w:val="center"/>
          </w:tcPr>
          <w:p w14:paraId="16A94A9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Aggiornare al bisogno</w:t>
            </w:r>
          </w:p>
        </w:tc>
        <w:tc>
          <w:tcPr>
            <w:tcW w:w="3039" w:type="dxa"/>
            <w:vAlign w:val="center"/>
          </w:tcPr>
          <w:p w14:paraId="779F98E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28; D.Lgs. 151/2001</w:t>
            </w:r>
          </w:p>
        </w:tc>
        <w:tc>
          <w:tcPr>
            <w:tcW w:w="3039" w:type="dxa"/>
            <w:vAlign w:val="center"/>
          </w:tcPr>
          <w:p w14:paraId="40BB025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Le misure individuali di tutela non possono attendere riesami programmati.</w:t>
            </w:r>
          </w:p>
        </w:tc>
      </w:tr>
    </w:tbl>
    <w:p w14:paraId="471CBDD8" w14:textId="77777777" w:rsidR="006A1DC0" w:rsidRDefault="006A1DC0"/>
    <w:p w14:paraId="34ABD279" w14:textId="77777777" w:rsidR="006A1DC0" w:rsidRDefault="00000000">
      <w:pPr>
        <w:pStyle w:val="Titolo1"/>
      </w:pPr>
      <w:r>
        <w:t>02 | SCADENZE DELLA GESTIONE ANTINCENDIO — DISTINTE DALLA VALUTAZIONE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3798"/>
      </w:tblGrid>
      <w:tr w:rsidR="006A1DC0" w14:paraId="0D918F69" w14:textId="77777777">
        <w:trPr>
          <w:tblHeader/>
          <w:jc w:val="center"/>
        </w:trPr>
        <w:tc>
          <w:tcPr>
            <w:tcW w:w="3798" w:type="dxa"/>
            <w:shd w:val="clear" w:color="auto" w:fill="123A61"/>
          </w:tcPr>
          <w:p w14:paraId="3EB63EFA" w14:textId="77777777" w:rsidR="006A1DC0" w:rsidRDefault="00000000">
            <w:r>
              <w:rPr>
                <w:b/>
                <w:color w:val="FFFFFF"/>
                <w:sz w:val="16"/>
              </w:rPr>
              <w:t>ADEMPIMENTO</w:t>
            </w:r>
          </w:p>
        </w:tc>
        <w:tc>
          <w:tcPr>
            <w:tcW w:w="3798" w:type="dxa"/>
            <w:shd w:val="clear" w:color="auto" w:fill="123A61"/>
          </w:tcPr>
          <w:p w14:paraId="709AE08C" w14:textId="77777777" w:rsidR="006A1DC0" w:rsidRDefault="00000000">
            <w:r>
              <w:rPr>
                <w:b/>
                <w:color w:val="FFFFFF"/>
                <w:sz w:val="16"/>
              </w:rPr>
              <w:t>TERMINE / FREQUENZA</w:t>
            </w:r>
          </w:p>
        </w:tc>
        <w:tc>
          <w:tcPr>
            <w:tcW w:w="3798" w:type="dxa"/>
            <w:shd w:val="clear" w:color="auto" w:fill="123A61"/>
          </w:tcPr>
          <w:p w14:paraId="00A55200" w14:textId="77777777" w:rsidR="006A1DC0" w:rsidRDefault="00000000">
            <w:r>
              <w:rPr>
                <w:b/>
                <w:color w:val="FFFFFF"/>
                <w:sz w:val="16"/>
              </w:rPr>
              <w:t>BASE NORMATIVA</w:t>
            </w:r>
          </w:p>
        </w:tc>
        <w:tc>
          <w:tcPr>
            <w:tcW w:w="3798" w:type="dxa"/>
            <w:shd w:val="clear" w:color="auto" w:fill="123A61"/>
          </w:tcPr>
          <w:p w14:paraId="61477648" w14:textId="77777777" w:rsidR="006A1DC0" w:rsidRDefault="00000000">
            <w:r>
              <w:rPr>
                <w:b/>
                <w:color w:val="FFFFFF"/>
                <w:sz w:val="16"/>
              </w:rPr>
              <w:t>NOTA OPERATIVA</w:t>
            </w:r>
          </w:p>
        </w:tc>
      </w:tr>
      <w:tr w:rsidR="006A1DC0" w14:paraId="787C11C9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243779A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Valutazione rischio incendio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F41B7B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Nessuna scadenza generale fissa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17325B2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Art. 29; D.M. 3/9/2021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01DF8EF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Riesaminare per variazioni significative di carico incendio, esodo, affollamento, processi, impianti.</w:t>
            </w:r>
          </w:p>
        </w:tc>
      </w:tr>
      <w:tr w:rsidR="006A1DC0" w14:paraId="4FE74883" w14:textId="77777777">
        <w:trPr>
          <w:jc w:val="center"/>
        </w:trPr>
        <w:tc>
          <w:tcPr>
            <w:tcW w:w="3798" w:type="dxa"/>
            <w:vAlign w:val="center"/>
          </w:tcPr>
          <w:p w14:paraId="4AC3427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Piano di emergenza</w:t>
            </w:r>
          </w:p>
        </w:tc>
        <w:tc>
          <w:tcPr>
            <w:tcW w:w="3798" w:type="dxa"/>
            <w:vAlign w:val="center"/>
          </w:tcPr>
          <w:p w14:paraId="3FDA603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Nessuna scadenza annuale del documento</w:t>
            </w:r>
          </w:p>
        </w:tc>
        <w:tc>
          <w:tcPr>
            <w:tcW w:w="3798" w:type="dxa"/>
            <w:vAlign w:val="center"/>
          </w:tcPr>
          <w:p w14:paraId="37A92D2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2/9/2021, All. II</w:t>
            </w:r>
          </w:p>
        </w:tc>
        <w:tc>
          <w:tcPr>
            <w:tcW w:w="3798" w:type="dxa"/>
            <w:vAlign w:val="center"/>
          </w:tcPr>
          <w:p w14:paraId="703582C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Adeguare in caso di variazioni delle condizioni e delle procedure; obbligo del piano nei casi previsti.</w:t>
            </w:r>
          </w:p>
        </w:tc>
      </w:tr>
      <w:tr w:rsidR="006A1DC0" w14:paraId="2548D65E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76D5AE3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Esercitazioni antincendio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E897202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Almeno annuali, nei luoghi con piano obbligatorio (regola generale)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9E7A4A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2/9/2021, All. II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46A439C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Registrare esiti e criticità; verificare disposizioni speciali.</w:t>
            </w:r>
          </w:p>
        </w:tc>
      </w:tr>
      <w:tr w:rsidR="006A1DC0" w14:paraId="17363CA5" w14:textId="77777777">
        <w:trPr>
          <w:jc w:val="center"/>
        </w:trPr>
        <w:tc>
          <w:tcPr>
            <w:tcW w:w="3798" w:type="dxa"/>
            <w:vAlign w:val="center"/>
          </w:tcPr>
          <w:p w14:paraId="7654968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Aggiornamento addetti antincendio</w:t>
            </w:r>
          </w:p>
        </w:tc>
        <w:tc>
          <w:tcPr>
            <w:tcW w:w="3798" w:type="dxa"/>
            <w:vAlign w:val="center"/>
          </w:tcPr>
          <w:p w14:paraId="261FDD10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Almeno ogni 5 anni</w:t>
            </w:r>
          </w:p>
        </w:tc>
        <w:tc>
          <w:tcPr>
            <w:tcW w:w="3798" w:type="dxa"/>
            <w:vAlign w:val="center"/>
          </w:tcPr>
          <w:p w14:paraId="2F7079D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2/9/2021, art. 5, c. 5</w:t>
            </w:r>
          </w:p>
        </w:tc>
        <w:tc>
          <w:tcPr>
            <w:tcW w:w="3798" w:type="dxa"/>
            <w:vAlign w:val="center"/>
          </w:tcPr>
          <w:p w14:paraId="08FE19F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Corsi e durata correlati al livello formativo; anticipare per mutate esigenze.</w:t>
            </w:r>
          </w:p>
        </w:tc>
      </w:tr>
      <w:tr w:rsidR="006A1DC0" w14:paraId="7CB72D54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16C156B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Aggiornamento docenti antincendio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12287CF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Almeno ogni 5 anni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364F5C23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2/9/2021, art. 6, c. 6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1D8E71F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Verificare requisiti e modalità dell’Allegato V.</w:t>
            </w:r>
          </w:p>
        </w:tc>
      </w:tr>
      <w:tr w:rsidR="006A1DC0" w14:paraId="27698403" w14:textId="77777777">
        <w:trPr>
          <w:jc w:val="center"/>
        </w:trPr>
        <w:tc>
          <w:tcPr>
            <w:tcW w:w="3798" w:type="dxa"/>
            <w:vAlign w:val="center"/>
          </w:tcPr>
          <w:p w14:paraId="1A52E17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Rinnovo periodico conformità antincendio</w:t>
            </w:r>
          </w:p>
        </w:tc>
        <w:tc>
          <w:tcPr>
            <w:tcW w:w="3798" w:type="dxa"/>
            <w:vAlign w:val="center"/>
          </w:tcPr>
          <w:p w14:paraId="78A11029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5 anni in via generale</w:t>
            </w:r>
          </w:p>
        </w:tc>
        <w:tc>
          <w:tcPr>
            <w:tcW w:w="3798" w:type="dxa"/>
            <w:vAlign w:val="center"/>
          </w:tcPr>
          <w:p w14:paraId="55F5E4F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D.P.R. 151/2011, art. 5</w:t>
            </w:r>
          </w:p>
        </w:tc>
        <w:tc>
          <w:tcPr>
            <w:tcW w:w="3798" w:type="dxa"/>
            <w:vAlign w:val="center"/>
          </w:tcPr>
          <w:p w14:paraId="555E8D8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Per attività soggette; attestazione amministrativa, non rinnovo DVR.</w:t>
            </w:r>
          </w:p>
        </w:tc>
      </w:tr>
      <w:tr w:rsidR="006A1DC0" w14:paraId="5115C4FD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15FA317F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Rinnovo conformità: attività speciali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3A4996C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10 anni, attività n. 6, 7, 8, 64, 71, 72, 77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342A084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D.P.R. 151/2011, art. 5, c. 2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4B8BE67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Verificare la specifica attività dell’Allegato I e l’assenza di variazioni.</w:t>
            </w:r>
          </w:p>
        </w:tc>
      </w:tr>
      <w:tr w:rsidR="006A1DC0" w14:paraId="1FBE8EB2" w14:textId="77777777">
        <w:trPr>
          <w:jc w:val="center"/>
        </w:trPr>
        <w:tc>
          <w:tcPr>
            <w:tcW w:w="3798" w:type="dxa"/>
            <w:vAlign w:val="center"/>
          </w:tcPr>
          <w:p w14:paraId="4B33029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Controlli/manutenzioni estintori</w:t>
            </w:r>
          </w:p>
        </w:tc>
        <w:tc>
          <w:tcPr>
            <w:tcW w:w="3798" w:type="dxa"/>
            <w:vAlign w:val="center"/>
          </w:tcPr>
          <w:p w14:paraId="7EF81FA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Secondo norma tecnica applicabile e istruzioni</w:t>
            </w:r>
          </w:p>
        </w:tc>
        <w:tc>
          <w:tcPr>
            <w:tcW w:w="3798" w:type="dxa"/>
            <w:vAlign w:val="center"/>
          </w:tcPr>
          <w:p w14:paraId="0FE3CCC6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1/9/2021; UNI 9994-1:2024</w:t>
            </w:r>
          </w:p>
        </w:tc>
        <w:tc>
          <w:tcPr>
            <w:tcW w:w="3798" w:type="dxa"/>
            <w:vAlign w:val="center"/>
          </w:tcPr>
          <w:p w14:paraId="31337FE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Distinguere sorveglianza, controllo, revisione e collaudo; intervalli dipendono dalla tipologia.</w:t>
            </w:r>
          </w:p>
        </w:tc>
      </w:tr>
      <w:tr w:rsidR="006A1DC0" w14:paraId="24039ED2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6C750AF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Idranti e reti antincendio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6132B0CC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Secondo norme tecniche e prescrizioni applicabili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0B560BE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1/9/2021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94D42A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Non esiste un’unica scadenza valida per tutti i sistemi.</w:t>
            </w:r>
          </w:p>
        </w:tc>
      </w:tr>
      <w:tr w:rsidR="006A1DC0" w14:paraId="50094D99" w14:textId="77777777">
        <w:trPr>
          <w:jc w:val="center"/>
        </w:trPr>
        <w:tc>
          <w:tcPr>
            <w:tcW w:w="3798" w:type="dxa"/>
            <w:vAlign w:val="center"/>
          </w:tcPr>
          <w:p w14:paraId="39F0AC2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Rivelazione e allarme incendio</w:t>
            </w:r>
          </w:p>
        </w:tc>
        <w:tc>
          <w:tcPr>
            <w:tcW w:w="3798" w:type="dxa"/>
            <w:vAlign w:val="center"/>
          </w:tcPr>
          <w:p w14:paraId="6108B05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Secondo norme tecniche e prescrizioni applicabili</w:t>
            </w:r>
          </w:p>
        </w:tc>
        <w:tc>
          <w:tcPr>
            <w:tcW w:w="3798" w:type="dxa"/>
            <w:vAlign w:val="center"/>
          </w:tcPr>
          <w:p w14:paraId="25624D48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1/9/2021</w:t>
            </w:r>
          </w:p>
        </w:tc>
        <w:tc>
          <w:tcPr>
            <w:tcW w:w="3798" w:type="dxa"/>
            <w:vAlign w:val="center"/>
          </w:tcPr>
          <w:p w14:paraId="473B7BCD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Programmare controlli e manutenzioni in base al sistema installato.</w:t>
            </w:r>
          </w:p>
        </w:tc>
      </w:tr>
      <w:tr w:rsidR="006A1DC0" w14:paraId="57C708B9" w14:textId="77777777">
        <w:trPr>
          <w:jc w:val="center"/>
        </w:trPr>
        <w:tc>
          <w:tcPr>
            <w:tcW w:w="3798" w:type="dxa"/>
            <w:shd w:val="clear" w:color="auto" w:fill="EEF4F9"/>
            <w:vAlign w:val="center"/>
          </w:tcPr>
          <w:p w14:paraId="0FF2D68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Porte tagliafuoco, illuminazione, spegnimento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721CBAC1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Secondo norme tecniche e prescrizioni applicabili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5335636A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1/9/2021</w:t>
            </w:r>
          </w:p>
        </w:tc>
        <w:tc>
          <w:tcPr>
            <w:tcW w:w="3798" w:type="dxa"/>
            <w:shd w:val="clear" w:color="auto" w:fill="EEF4F9"/>
            <w:vAlign w:val="center"/>
          </w:tcPr>
          <w:p w14:paraId="4233C987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Gestire scadenziari separati per ogni famiglia di presidi.</w:t>
            </w:r>
          </w:p>
        </w:tc>
      </w:tr>
      <w:tr w:rsidR="006A1DC0" w14:paraId="0DD309A9" w14:textId="77777777">
        <w:trPr>
          <w:jc w:val="center"/>
        </w:trPr>
        <w:tc>
          <w:tcPr>
            <w:tcW w:w="3798" w:type="dxa"/>
            <w:vAlign w:val="center"/>
          </w:tcPr>
          <w:p w14:paraId="09A6826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Registro controlli antincendio</w:t>
            </w:r>
          </w:p>
        </w:tc>
        <w:tc>
          <w:tcPr>
            <w:tcW w:w="3798" w:type="dxa"/>
            <w:vAlign w:val="center"/>
          </w:tcPr>
          <w:p w14:paraId="53E5005B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Aggiornamento in occasione delle attività svolte</w:t>
            </w:r>
          </w:p>
        </w:tc>
        <w:tc>
          <w:tcPr>
            <w:tcW w:w="3798" w:type="dxa"/>
            <w:vAlign w:val="center"/>
          </w:tcPr>
          <w:p w14:paraId="134B8E95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D.M. 1/9/2021; altre norme pertinenti</w:t>
            </w:r>
          </w:p>
        </w:tc>
        <w:tc>
          <w:tcPr>
            <w:tcW w:w="3798" w:type="dxa"/>
            <w:vAlign w:val="center"/>
          </w:tcPr>
          <w:p w14:paraId="54A9B6B4" w14:textId="77777777" w:rsidR="006A1DC0" w:rsidRDefault="00000000">
            <w:pPr>
              <w:spacing w:before="20" w:after="20"/>
            </w:pPr>
            <w:r>
              <w:rPr>
                <w:sz w:val="15"/>
              </w:rPr>
              <w:t>Registrare controlli e manutenzioni previsti; non è valutazione del rischio.</w:t>
            </w:r>
          </w:p>
        </w:tc>
      </w:tr>
    </w:tbl>
    <w:p w14:paraId="74264BF1" w14:textId="77777777" w:rsidR="006A1DC0" w:rsidRDefault="006A1DC0"/>
    <w:p w14:paraId="7C3C5B8D" w14:textId="77777777" w:rsidR="006A1DC0" w:rsidRDefault="00000000">
      <w:pPr>
        <w:pStyle w:val="Titolo1"/>
      </w:pPr>
      <w:r>
        <w:t>03 | NOTE INTERPRETATIVE E REGOLE DI GESTIONE</w:t>
      </w:r>
    </w:p>
    <w:p w14:paraId="32912BEE" w14:textId="77777777" w:rsidR="006A1DC0" w:rsidRDefault="00000000">
      <w:pPr>
        <w:pStyle w:val="Titolo2"/>
      </w:pPr>
      <w:r>
        <w:t>Aggiornamento anticipato</w:t>
      </w:r>
    </w:p>
    <w:p w14:paraId="064F1F1C" w14:textId="77777777" w:rsidR="006A1DC0" w:rsidRDefault="00000000">
      <w:r>
        <w:t>Le periodicità triennali e quadriennali non esonerano dalla revisione anticipata in presenza di cambiamenti rilevanti. L’art. 29, c. 3 richiede la rielaborazione del DVR entro 30 giorni dalle causali indicate e l’immediato aggiornamento delle misure.</w:t>
      </w:r>
    </w:p>
    <w:p w14:paraId="246919E4" w14:textId="77777777" w:rsidR="006A1DC0" w:rsidRDefault="00000000">
      <w:pPr>
        <w:pStyle w:val="Titolo2"/>
      </w:pPr>
      <w:r>
        <w:t>Valutazione versus misurazioni</w:t>
      </w:r>
    </w:p>
    <w:p w14:paraId="6F12F374" w14:textId="77777777" w:rsidR="006A1DC0" w:rsidRDefault="00000000">
      <w:r>
        <w:t>La rivalutazione periodica del rischio non comporta automaticamente la ripetizione di ogni misura strumentale: giustificare tecnicamente rappresentatività, attendibilità e adeguatezza dei dati.</w:t>
      </w:r>
    </w:p>
    <w:p w14:paraId="451288C0" w14:textId="77777777" w:rsidR="006A1DC0" w:rsidRDefault="00000000">
      <w:pPr>
        <w:pStyle w:val="Titolo2"/>
      </w:pPr>
      <w:r>
        <w:t>Riesame volontario versus scadenza legale</w:t>
      </w:r>
    </w:p>
    <w:p w14:paraId="7314FEE5" w14:textId="77777777" w:rsidR="006A1DC0" w:rsidRDefault="00000000">
      <w:r>
        <w:t>Un controllo annuale programmato può essere una buona misura organizzativa, ma non diventa per questo una scadenza prevista dalla legge.</w:t>
      </w:r>
    </w:p>
    <w:p w14:paraId="07838C88" w14:textId="77777777" w:rsidR="006A1DC0" w:rsidRDefault="00000000">
      <w:pPr>
        <w:pStyle w:val="Titolo2"/>
      </w:pPr>
      <w:r>
        <w:t>Attività soggette a regole speciali</w:t>
      </w:r>
    </w:p>
    <w:p w14:paraId="5CB30244" w14:textId="77777777" w:rsidR="006A1DC0" w:rsidRDefault="00000000">
      <w:r>
        <w:t>Norme settoriali, prescrizioni dei Vigili del fuoco, provvedimenti autorizzativi e specifiche metodologie possono imporre obblighi ulteriori.</w:t>
      </w:r>
    </w:p>
    <w:p w14:paraId="5A6AC1C5" w14:textId="77777777" w:rsidR="006A1DC0" w:rsidRDefault="00000000">
      <w:pPr>
        <w:pStyle w:val="Titolo2"/>
      </w:pPr>
      <w:r>
        <w:t>Dati minimi del registro</w:t>
      </w:r>
    </w:p>
    <w:p w14:paraId="4C987EF4" w14:textId="77777777" w:rsidR="006A1DC0" w:rsidRDefault="00000000">
      <w:r>
        <w:t>Per ciascuna valutazione registrare data, unità produttiva, normativa, termine obbligatorio (se presente), riesame programmato, eventi di modifica, responsabile, esito e collegamento ai documenti.</w:t>
      </w:r>
    </w:p>
    <w:p w14:paraId="114B2F0F" w14:textId="77777777" w:rsidR="006A1DC0" w:rsidRDefault="00000000">
      <w:pPr>
        <w:pStyle w:val="Titolo1"/>
      </w:pPr>
      <w:r>
        <w:t>04 | FONTI PRIMARIE E CRITERI DI LETTURA</w:t>
      </w:r>
    </w:p>
    <w:p w14:paraId="0C5912D1" w14:textId="77777777" w:rsidR="006A1DC0" w:rsidRDefault="00000000">
      <w:r>
        <w:t>D.Lgs. 81/2008: artt. 28-29, 80, 168, 174, 180-181, 190, 202, 209, 216, 223, 236, 271, 290, 294; D.Lgs. 135/2024; D.M. 1, 2 e 3 settembre 2021; D.P.R. 151/2011, art. 5. Per l’utilizzo operativo, verificare il testo vigente e le norme tecniche pertinenti.</w:t>
      </w:r>
    </w:p>
    <w:p w14:paraId="50339086" w14:textId="77777777" w:rsidR="006A1DC0" w:rsidRDefault="00000000">
      <w:r>
        <w:t>NOTA EDITORIALE  |  Le tabelle sono schemi di orientamento professionale e non sostituiscono la verifica del caso concreto, né trasformano in scadenze di legge i riesami aziendali consigliati.</w:t>
      </w:r>
    </w:p>
    <w:sectPr w:rsidR="006A1DC0" w:rsidSect="00034616">
      <w:headerReference w:type="default" r:id="rId8"/>
      <w:footerReference w:type="default" r:id="rId9"/>
      <w:pgSz w:w="16838" w:h="11906" w:orient="landscape"/>
      <w:pgMar w:top="879" w:right="822" w:bottom="822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EC74" w14:textId="77777777" w:rsidR="009C0DAC" w:rsidRDefault="009C0DAC">
      <w:pPr>
        <w:spacing w:after="0" w:line="240" w:lineRule="auto"/>
      </w:pPr>
      <w:r>
        <w:separator/>
      </w:r>
    </w:p>
  </w:endnote>
  <w:endnote w:type="continuationSeparator" w:id="0">
    <w:p w14:paraId="75F82A0F" w14:textId="77777777" w:rsidR="009C0DAC" w:rsidRDefault="009C0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36C6" w14:textId="77777777" w:rsidR="006A1DC0" w:rsidRDefault="00000000">
    <w:pPr>
      <w:pStyle w:val="Pidipagina"/>
      <w:jc w:val="right"/>
    </w:pPr>
    <w:r>
      <w:t xml:space="preserve">Guida </w:t>
    </w:r>
    <w:proofErr w:type="spellStart"/>
    <w:r>
      <w:t>operativa</w:t>
    </w:r>
    <w:proofErr w:type="spellEnd"/>
    <w:r>
      <w:t xml:space="preserve"> • 25 </w:t>
    </w:r>
    <w:proofErr w:type="spellStart"/>
    <w:r>
      <w:t>ottobre</w:t>
    </w:r>
    <w:proofErr w:type="spellEnd"/>
    <w:r>
      <w:t xml:space="preserve"> </w:t>
    </w:r>
    <w:proofErr w:type="gramStart"/>
    <w:r>
      <w:t>2026  |</w:t>
    </w:r>
    <w:proofErr w:type="gramEnd"/>
    <w:r>
      <w:t xml:space="preserve">  </w:t>
    </w:r>
    <w:proofErr w:type="spellStart"/>
    <w:r>
      <w:t>Verificare</w:t>
    </w:r>
    <w:proofErr w:type="spellEnd"/>
    <w:r>
      <w:t xml:space="preserve"> sempre </w:t>
    </w:r>
    <w:proofErr w:type="spellStart"/>
    <w:r>
      <w:t>norme</w:t>
    </w:r>
    <w:proofErr w:type="spellEnd"/>
    <w:r>
      <w:t xml:space="preserve"> </w:t>
    </w:r>
    <w:proofErr w:type="spellStart"/>
    <w:r>
      <w:t>speciali</w:t>
    </w:r>
    <w:proofErr w:type="spellEnd"/>
    <w:r>
      <w:t xml:space="preserve"> e </w:t>
    </w:r>
    <w:proofErr w:type="spellStart"/>
    <w:r>
      <w:t>condizioni</w:t>
    </w:r>
    <w:proofErr w:type="spellEnd"/>
    <w:r>
      <w:t xml:space="preserve"> </w:t>
    </w:r>
    <w:proofErr w:type="spellStart"/>
    <w:r>
      <w:t>aziendali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0F72" w14:textId="77777777" w:rsidR="009C0DAC" w:rsidRDefault="009C0DAC">
      <w:pPr>
        <w:spacing w:after="0" w:line="240" w:lineRule="auto"/>
      </w:pPr>
      <w:r>
        <w:separator/>
      </w:r>
    </w:p>
  </w:footnote>
  <w:footnote w:type="continuationSeparator" w:id="0">
    <w:p w14:paraId="2E2EC09F" w14:textId="77777777" w:rsidR="009C0DAC" w:rsidRDefault="009C0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C51A" w14:textId="77777777" w:rsidR="006A1DC0" w:rsidRDefault="00000000">
    <w:pPr>
      <w:pStyle w:val="Didascalia"/>
    </w:pPr>
    <w:r>
      <w:rPr>
        <w:color w:val="225B8F"/>
      </w:rPr>
      <w:t xml:space="preserve">STUDIO </w:t>
    </w:r>
    <w:proofErr w:type="gramStart"/>
    <w:r>
      <w:rPr>
        <w:color w:val="225B8F"/>
      </w:rPr>
      <w:t>TECNICO  |</w:t>
    </w:r>
    <w:proofErr w:type="gramEnd"/>
    <w:r>
      <w:rPr>
        <w:color w:val="225B8F"/>
      </w:rPr>
      <w:t xml:space="preserve">  SCADENZIARIO NORMATIVO SSL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7869704">
    <w:abstractNumId w:val="8"/>
  </w:num>
  <w:num w:numId="2" w16cid:durableId="1781990402">
    <w:abstractNumId w:val="6"/>
  </w:num>
  <w:num w:numId="3" w16cid:durableId="1390495859">
    <w:abstractNumId w:val="5"/>
  </w:num>
  <w:num w:numId="4" w16cid:durableId="173687561">
    <w:abstractNumId w:val="4"/>
  </w:num>
  <w:num w:numId="5" w16cid:durableId="84689080">
    <w:abstractNumId w:val="7"/>
  </w:num>
  <w:num w:numId="6" w16cid:durableId="1482040799">
    <w:abstractNumId w:val="3"/>
  </w:num>
  <w:num w:numId="7" w16cid:durableId="1352338058">
    <w:abstractNumId w:val="2"/>
  </w:num>
  <w:num w:numId="8" w16cid:durableId="244460173">
    <w:abstractNumId w:val="1"/>
  </w:num>
  <w:num w:numId="9" w16cid:durableId="1594586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5C3D"/>
    <w:rsid w:val="006A1DC0"/>
    <w:rsid w:val="009C0DAC"/>
    <w:rsid w:val="00AA1D8D"/>
    <w:rsid w:val="00B47730"/>
    <w:rsid w:val="00BD16F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86052"/>
  <w14:defaultImageDpi w14:val="330"/>
  <w15:docId w15:val="{C692D6FD-692B-44EA-8BE3-8C713B60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1E3046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B4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2B4F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E2B4F"/>
      <w:spacing w:val="5"/>
      <w:kern w:val="28"/>
      <w:sz w:val="4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PAOLO BENNI</cp:lastModifiedBy>
  <cp:revision>2</cp:revision>
  <dcterms:created xsi:type="dcterms:W3CDTF">2013-12-23T23:15:00Z</dcterms:created>
  <dcterms:modified xsi:type="dcterms:W3CDTF">2026-10-25T14:07:00Z</dcterms:modified>
  <cp:category/>
</cp:coreProperties>
</file>