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B9121" w14:textId="77777777" w:rsidR="009826A8" w:rsidRDefault="009826A8" w:rsidP="009826A8">
      <w:pPr>
        <w:spacing w:before="100" w:beforeAutospacing="1" w:after="100" w:afterAutospacing="1" w:line="240" w:lineRule="auto"/>
        <w:outlineLvl w:val="0"/>
        <w:rPr>
          <w:rFonts w:ascii="Times New Roman" w:eastAsia="Times New Roman" w:hAnsi="Times New Roman" w:cs="Times New Roman"/>
          <w:b/>
          <w:bCs/>
          <w:kern w:val="36"/>
          <w:sz w:val="48"/>
          <w:szCs w:val="48"/>
          <w:lang w:eastAsia="it-IT"/>
          <w14:ligatures w14:val="none"/>
        </w:rPr>
      </w:pPr>
      <w:r w:rsidRPr="009826A8">
        <w:rPr>
          <w:rFonts w:ascii="Times New Roman" w:eastAsia="Times New Roman" w:hAnsi="Times New Roman" w:cs="Times New Roman"/>
          <w:b/>
          <w:bCs/>
          <w:kern w:val="36"/>
          <w:sz w:val="48"/>
          <w:szCs w:val="48"/>
          <w:lang w:eastAsia="it-IT"/>
          <w14:ligatures w14:val="none"/>
        </w:rPr>
        <w:t>Rischio presenza amianto negli edifici: riconoscimento, valutazione e gestione operativa</w:t>
      </w:r>
    </w:p>
    <w:p w14:paraId="7DEE90CC" w14:textId="6E18CC29" w:rsidR="009826A8" w:rsidRPr="009826A8" w:rsidRDefault="009826A8" w:rsidP="009826A8">
      <w:pPr>
        <w:spacing w:before="100" w:beforeAutospacing="1" w:after="100" w:afterAutospacing="1" w:line="240" w:lineRule="auto"/>
        <w:outlineLvl w:val="0"/>
        <w:rPr>
          <w:rFonts w:ascii="Times New Roman" w:eastAsia="Times New Roman" w:hAnsi="Times New Roman" w:cs="Times New Roman"/>
          <w:b/>
          <w:bCs/>
          <w:kern w:val="36"/>
          <w:sz w:val="48"/>
          <w:szCs w:val="48"/>
          <w:lang w:eastAsia="it-IT"/>
          <w14:ligatures w14:val="none"/>
        </w:rPr>
      </w:pPr>
      <w:r>
        <w:rPr>
          <w:rFonts w:ascii="Times New Roman" w:eastAsia="Times New Roman" w:hAnsi="Times New Roman" w:cs="Times New Roman"/>
          <w:b/>
          <w:bCs/>
          <w:noProof/>
          <w:kern w:val="36"/>
          <w:sz w:val="48"/>
          <w:szCs w:val="48"/>
          <w:lang w:eastAsia="it-IT"/>
          <w14:ligatures w14:val="none"/>
        </w:rPr>
        <w:drawing>
          <wp:inline distT="0" distB="0" distL="0" distR="0" wp14:anchorId="2EF1777A" wp14:editId="2D3890D3">
            <wp:extent cx="6119495" cy="4893310"/>
            <wp:effectExtent l="0" t="0" r="0" b="0"/>
            <wp:docPr id="41905312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119495" cy="4893310"/>
                    </a:xfrm>
                    <a:prstGeom prst="rect">
                      <a:avLst/>
                    </a:prstGeom>
                    <a:noFill/>
                    <a:ln>
                      <a:noFill/>
                    </a:ln>
                  </pic:spPr>
                </pic:pic>
              </a:graphicData>
            </a:graphic>
          </wp:inline>
        </w:drawing>
      </w:r>
    </w:p>
    <w:p w14:paraId="2AB6D36B" w14:textId="77777777" w:rsidR="009826A8" w:rsidRDefault="009826A8" w:rsidP="009826A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Il rischio amianto negli edifici rappresenta ancora oggi una delle criticità più rilevanti nella gestione della salute e sicurezza nei luoghi di vita e di lavoro. Nonostante il divieto di utilizzo introdotto in Italia con la Legge 27 marzo 1992, n. 257, numerosi materiali contenenti amianto sono ancora presenti nel patrimonio edilizio esistente, in particolare negli edifici costruiti o ristrutturati tra il secondo dopoguerra e gli anni Novanta.</w:t>
      </w:r>
    </w:p>
    <w:p w14:paraId="38D974E3" w14:textId="77777777" w:rsidR="009826A8" w:rsidRPr="009826A8" w:rsidRDefault="009826A8" w:rsidP="009826A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Il rischio amianto negli edifici non può essere gestito con interventi occasionali o valutazioni approssimative. La presenza di materiali contenenti amianto richiede un percorso tecnico documentato: sospetto, censimento, analisi, valutazione dello stato di conservazione, nomina del RRA quando necessario, Programma di Controllo e Manutenzione, informazione agli occupanti, procedure per le manutenzioni e, quando opportuno o necessario, bonifica.</w:t>
      </w:r>
    </w:p>
    <w:p w14:paraId="0965FEA3" w14:textId="77777777" w:rsidR="009826A8" w:rsidRPr="009826A8" w:rsidRDefault="009826A8" w:rsidP="009826A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 xml:space="preserve">La corretta gestione non coincide sempre con la rimozione immediata, ma con una decisione tecnica proporzionata al rischio reale, allo stato del materiale, alla sua accessibilità, alle attività presenti e agli interventi futuri sull’edificio. Tuttavia, nei casi di materiali degradati, friabili, facilmente </w:t>
      </w:r>
      <w:r w:rsidRPr="009826A8">
        <w:rPr>
          <w:rFonts w:ascii="Times New Roman" w:eastAsia="Times New Roman" w:hAnsi="Times New Roman" w:cs="Times New Roman"/>
          <w:kern w:val="0"/>
          <w:sz w:val="24"/>
          <w:szCs w:val="24"/>
          <w:lang w:eastAsia="it-IT"/>
          <w14:ligatures w14:val="none"/>
        </w:rPr>
        <w:lastRenderedPageBreak/>
        <w:t>disturbabili o interferenti con manutenzioni e ristrutturazioni, la bonifica assume un ruolo prioritario.</w:t>
      </w:r>
    </w:p>
    <w:p w14:paraId="28E66259" w14:textId="77777777" w:rsidR="009826A8" w:rsidRPr="009826A8" w:rsidRDefault="009826A8" w:rsidP="009826A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L’amianto è un rischio storico, ma ancora attuale. La prevenzione efficace passa dalla conoscenza dei materiali, dalla competenza delle figure incaricate, dalla tracciabilità documentale e dalla capacità di evitare che lavori ordinari o straordinari trasformino una presenza controllata in una esposizione pericolosa.</w:t>
      </w:r>
    </w:p>
    <w:p w14:paraId="401FA76A" w14:textId="77777777" w:rsidR="009826A8" w:rsidRPr="009826A8" w:rsidRDefault="009826A8" w:rsidP="009826A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p>
    <w:p w14:paraId="42D97661" w14:textId="77777777" w:rsidR="009826A8" w:rsidRPr="009826A8" w:rsidRDefault="009826A8" w:rsidP="009826A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 xml:space="preserve">Il problema non riguarda soltanto le coperture in cemento-amianto, spesso identificate impropriamente come unico caso tipico di presenza di amianto, ma anche canne fumarie, tubazioni, pannelli, coibentazioni, pavimenti vinilici, collanti, guarnizioni, controsoffitti, intonaci, rivestimenti antincendio, impianti termici ed elettrici. La pubblicazione Inail 2026 </w:t>
      </w:r>
      <w:r w:rsidRPr="009826A8">
        <w:rPr>
          <w:rFonts w:ascii="Times New Roman" w:eastAsia="Times New Roman" w:hAnsi="Times New Roman" w:cs="Times New Roman"/>
          <w:i/>
          <w:iCs/>
          <w:kern w:val="0"/>
          <w:sz w:val="24"/>
          <w:szCs w:val="24"/>
          <w:lang w:eastAsia="it-IT"/>
          <w14:ligatures w14:val="none"/>
        </w:rPr>
        <w:t>Gestione del rischio amianto negli edifici: ruoli e indicazioni operative</w:t>
      </w:r>
      <w:r w:rsidRPr="009826A8">
        <w:rPr>
          <w:rFonts w:ascii="Times New Roman" w:eastAsia="Times New Roman" w:hAnsi="Times New Roman" w:cs="Times New Roman"/>
          <w:kern w:val="0"/>
          <w:sz w:val="24"/>
          <w:szCs w:val="24"/>
          <w:lang w:eastAsia="it-IT"/>
          <w14:ligatures w14:val="none"/>
        </w:rPr>
        <w:t xml:space="preserve"> evidenzia che in Italia si stima ancora la presenza di circa 40 milioni di tonnellate di materiali contenenti amianto e circa 1,2 miliardi di m² di coperture in cemento-amianto. </w:t>
      </w:r>
    </w:p>
    <w:p w14:paraId="2B9F3E28" w14:textId="77777777" w:rsidR="009826A8" w:rsidRPr="009826A8" w:rsidRDefault="009826A8" w:rsidP="009826A8">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9826A8">
        <w:rPr>
          <w:rFonts w:ascii="Times New Roman" w:eastAsia="Times New Roman" w:hAnsi="Times New Roman" w:cs="Times New Roman"/>
          <w:b/>
          <w:bCs/>
          <w:kern w:val="0"/>
          <w:sz w:val="36"/>
          <w:szCs w:val="36"/>
          <w:lang w:eastAsia="it-IT"/>
          <w14:ligatures w14:val="none"/>
        </w:rPr>
        <w:t>Che cos’è l’amianto e perché è pericoloso</w:t>
      </w:r>
    </w:p>
    <w:p w14:paraId="172052FC" w14:textId="77777777" w:rsidR="009826A8" w:rsidRPr="009826A8" w:rsidRDefault="009826A8" w:rsidP="009826A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L’amianto, o asbesto, è un insieme di minerali naturali a struttura fibrosa appartenenti principalmente ai gruppi del serpentino e degli anfiboli. Le fibre di amianto sono molto resistenti al calore, agli agenti chimici, all’abrasione e all’usura; proprio queste caratteristiche ne hanno favorito per decenni l’impiego in edilizia, nell’industria, nei trasporti e negli impianti.</w:t>
      </w:r>
    </w:p>
    <w:p w14:paraId="4E1C47D7" w14:textId="77777777" w:rsidR="009826A8" w:rsidRPr="009826A8" w:rsidRDefault="009826A8" w:rsidP="009826A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 xml:space="preserve">Il rischio per la salute deriva dalla possibilità che le fibre vengano disperse nell’aria e inalate. Le fibre respirabili sono particolarmente insidiose perché possono raggiungere le porzioni profonde dell’apparato respiratorio. Il documento Inail richiama i parametri </w:t>
      </w:r>
      <w:proofErr w:type="spellStart"/>
      <w:r w:rsidRPr="009826A8">
        <w:rPr>
          <w:rFonts w:ascii="Times New Roman" w:eastAsia="Times New Roman" w:hAnsi="Times New Roman" w:cs="Times New Roman"/>
          <w:kern w:val="0"/>
          <w:sz w:val="24"/>
          <w:szCs w:val="24"/>
          <w:lang w:eastAsia="it-IT"/>
          <w14:ligatures w14:val="none"/>
        </w:rPr>
        <w:t>igienistico</w:t>
      </w:r>
      <w:proofErr w:type="spellEnd"/>
      <w:r w:rsidRPr="009826A8">
        <w:rPr>
          <w:rFonts w:ascii="Times New Roman" w:eastAsia="Times New Roman" w:hAnsi="Times New Roman" w:cs="Times New Roman"/>
          <w:kern w:val="0"/>
          <w:sz w:val="24"/>
          <w:szCs w:val="24"/>
          <w:lang w:eastAsia="it-IT"/>
          <w14:ligatures w14:val="none"/>
        </w:rPr>
        <w:t xml:space="preserve">-ambientali delle fibre respirabili: lunghezza almeno pari a 5 µm, diametro inferiore o uguale a 3 µm e rapporto lunghezza/diametro almeno pari a 3. </w:t>
      </w:r>
    </w:p>
    <w:p w14:paraId="2DFCE916" w14:textId="77777777" w:rsidR="009826A8" w:rsidRPr="009826A8" w:rsidRDefault="009826A8" w:rsidP="009826A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 xml:space="preserve">L’esposizione a fibre di amianto può essere correlata a patologie gravi, anche con lunghi tempi di latenza, tra cui asbestosi, mesotelioma pleurico e peritoneale, tumori polmonari e altre patologie </w:t>
      </w:r>
      <w:proofErr w:type="spellStart"/>
      <w:r w:rsidRPr="009826A8">
        <w:rPr>
          <w:rFonts w:ascii="Times New Roman" w:eastAsia="Times New Roman" w:hAnsi="Times New Roman" w:cs="Times New Roman"/>
          <w:kern w:val="0"/>
          <w:sz w:val="24"/>
          <w:szCs w:val="24"/>
          <w:lang w:eastAsia="it-IT"/>
          <w14:ligatures w14:val="none"/>
        </w:rPr>
        <w:t>asbestos</w:t>
      </w:r>
      <w:proofErr w:type="spellEnd"/>
      <w:r w:rsidRPr="009826A8">
        <w:rPr>
          <w:rFonts w:ascii="Times New Roman" w:eastAsia="Times New Roman" w:hAnsi="Times New Roman" w:cs="Times New Roman"/>
          <w:kern w:val="0"/>
          <w:sz w:val="24"/>
          <w:szCs w:val="24"/>
          <w:lang w:eastAsia="it-IT"/>
          <w14:ligatures w14:val="none"/>
        </w:rPr>
        <w:t>-correlate. Per questo motivo la presenza di amianto in un edificio deve essere gestita con criteri tecnici, documentali e organizzativi rigorosi.</w:t>
      </w:r>
    </w:p>
    <w:p w14:paraId="5A86ACA2" w14:textId="77777777" w:rsidR="009826A8" w:rsidRPr="009826A8" w:rsidRDefault="009826A8" w:rsidP="009826A8">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9826A8">
        <w:rPr>
          <w:rFonts w:ascii="Times New Roman" w:eastAsia="Times New Roman" w:hAnsi="Times New Roman" w:cs="Times New Roman"/>
          <w:b/>
          <w:bCs/>
          <w:kern w:val="0"/>
          <w:sz w:val="36"/>
          <w:szCs w:val="36"/>
          <w:lang w:eastAsia="it-IT"/>
          <w14:ligatures w14:val="none"/>
        </w:rPr>
        <w:t>Presenza di amianto negli edifici: dove può trovarsi</w:t>
      </w:r>
    </w:p>
    <w:p w14:paraId="7B99B32A" w14:textId="77777777" w:rsidR="009826A8" w:rsidRPr="009826A8" w:rsidRDefault="009826A8" w:rsidP="009826A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L’amianto può essere presente in forma compatta o friabile.</w:t>
      </w:r>
    </w:p>
    <w:p w14:paraId="527B5D2D" w14:textId="77777777" w:rsidR="009826A8" w:rsidRPr="009826A8" w:rsidRDefault="009826A8" w:rsidP="009826A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I materiali compatti sono quelli nei quali le fibre sono inglobate in una matrice solida, ad esempio cemento, resina, PVC o bitume. In condizioni integre e non disturbate possono avere una minore probabilità di rilascio di fibre, ma diventano pericolosi se tagliati, forati, abrasi, rotti o degradati.</w:t>
      </w:r>
    </w:p>
    <w:p w14:paraId="61B25832" w14:textId="77777777" w:rsidR="009826A8" w:rsidRPr="009826A8" w:rsidRDefault="009826A8" w:rsidP="009826A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I materiali friabili sono invece quelli che possono essere ridotti in polvere con la semplice pressione manuale. Sono generalmente più critici perché possono rilasciare fibre anche in seguito a vibrazioni, correnti d’aria, urti, infiltrazioni o interventi manutentivi non corretti.</w:t>
      </w:r>
    </w:p>
    <w:p w14:paraId="11EE4FA2" w14:textId="77777777" w:rsidR="009826A8" w:rsidRPr="009826A8" w:rsidRDefault="009826A8" w:rsidP="009826A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Tra i materiali contenenti amianto più frequenti negli edifici si possono trovare:</w:t>
      </w:r>
    </w:p>
    <w:tbl>
      <w:tblPr>
        <w:tblStyle w:val="Grigliatabella"/>
        <w:tblW w:w="0" w:type="auto"/>
        <w:tblLook w:val="04A0" w:firstRow="1" w:lastRow="0" w:firstColumn="1" w:lastColumn="0" w:noHBand="0" w:noVBand="1"/>
      </w:tblPr>
      <w:tblGrid>
        <w:gridCol w:w="2557"/>
        <w:gridCol w:w="7297"/>
      </w:tblGrid>
      <w:tr w:rsidR="009826A8" w:rsidRPr="009826A8" w14:paraId="4AAB029B" w14:textId="77777777" w:rsidTr="009826A8">
        <w:tc>
          <w:tcPr>
            <w:tcW w:w="0" w:type="auto"/>
            <w:hideMark/>
          </w:tcPr>
          <w:p w14:paraId="7E71A8AE" w14:textId="77777777" w:rsidR="009826A8" w:rsidRPr="009826A8" w:rsidRDefault="009826A8" w:rsidP="009826A8">
            <w:pPr>
              <w:jc w:val="center"/>
              <w:rPr>
                <w:rFonts w:ascii="Times New Roman" w:eastAsia="Times New Roman" w:hAnsi="Times New Roman" w:cs="Times New Roman"/>
                <w:b/>
                <w:bCs/>
                <w:kern w:val="0"/>
                <w:sz w:val="24"/>
                <w:szCs w:val="24"/>
                <w:lang w:eastAsia="it-IT"/>
                <w14:ligatures w14:val="none"/>
              </w:rPr>
            </w:pPr>
            <w:r w:rsidRPr="009826A8">
              <w:rPr>
                <w:rFonts w:ascii="Times New Roman" w:eastAsia="Times New Roman" w:hAnsi="Times New Roman" w:cs="Times New Roman"/>
                <w:b/>
                <w:bCs/>
                <w:kern w:val="0"/>
                <w:sz w:val="24"/>
                <w:szCs w:val="24"/>
                <w:lang w:eastAsia="it-IT"/>
                <w14:ligatures w14:val="none"/>
              </w:rPr>
              <w:t>Area / componente</w:t>
            </w:r>
          </w:p>
        </w:tc>
        <w:tc>
          <w:tcPr>
            <w:tcW w:w="0" w:type="auto"/>
            <w:hideMark/>
          </w:tcPr>
          <w:p w14:paraId="69610934" w14:textId="77777777" w:rsidR="009826A8" w:rsidRPr="009826A8" w:rsidRDefault="009826A8" w:rsidP="009826A8">
            <w:pPr>
              <w:jc w:val="center"/>
              <w:rPr>
                <w:rFonts w:ascii="Times New Roman" w:eastAsia="Times New Roman" w:hAnsi="Times New Roman" w:cs="Times New Roman"/>
                <w:b/>
                <w:bCs/>
                <w:kern w:val="0"/>
                <w:sz w:val="24"/>
                <w:szCs w:val="24"/>
                <w:lang w:eastAsia="it-IT"/>
                <w14:ligatures w14:val="none"/>
              </w:rPr>
            </w:pPr>
            <w:r w:rsidRPr="009826A8">
              <w:rPr>
                <w:rFonts w:ascii="Times New Roman" w:eastAsia="Times New Roman" w:hAnsi="Times New Roman" w:cs="Times New Roman"/>
                <w:b/>
                <w:bCs/>
                <w:kern w:val="0"/>
                <w:sz w:val="24"/>
                <w:szCs w:val="24"/>
                <w:lang w:eastAsia="it-IT"/>
                <w14:ligatures w14:val="none"/>
              </w:rPr>
              <w:t>Possibile presenza di amianto</w:t>
            </w:r>
          </w:p>
        </w:tc>
      </w:tr>
      <w:tr w:rsidR="009826A8" w:rsidRPr="009826A8" w14:paraId="0236E793" w14:textId="77777777" w:rsidTr="009826A8">
        <w:tc>
          <w:tcPr>
            <w:tcW w:w="0" w:type="auto"/>
            <w:hideMark/>
          </w:tcPr>
          <w:p w14:paraId="1D8FD1AC"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Coperture</w:t>
            </w:r>
          </w:p>
        </w:tc>
        <w:tc>
          <w:tcPr>
            <w:tcW w:w="0" w:type="auto"/>
            <w:hideMark/>
          </w:tcPr>
          <w:p w14:paraId="316B7366"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Lastre ondulate o piane in cemento-amianto, colmi, converse, raccordi, pensiline</w:t>
            </w:r>
          </w:p>
        </w:tc>
      </w:tr>
      <w:tr w:rsidR="009826A8" w:rsidRPr="009826A8" w14:paraId="657C15CA" w14:textId="77777777" w:rsidTr="009826A8">
        <w:tc>
          <w:tcPr>
            <w:tcW w:w="0" w:type="auto"/>
            <w:hideMark/>
          </w:tcPr>
          <w:p w14:paraId="0F5EABE0"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Facciate e involucro</w:t>
            </w:r>
          </w:p>
        </w:tc>
        <w:tc>
          <w:tcPr>
            <w:tcW w:w="0" w:type="auto"/>
            <w:hideMark/>
          </w:tcPr>
          <w:p w14:paraId="3DF47011"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Pannelli di tamponamento, sottogronda, lastre piane, elementi prefabbricati</w:t>
            </w:r>
          </w:p>
        </w:tc>
      </w:tr>
      <w:tr w:rsidR="009826A8" w:rsidRPr="009826A8" w14:paraId="0E33D913" w14:textId="77777777" w:rsidTr="009826A8">
        <w:tc>
          <w:tcPr>
            <w:tcW w:w="0" w:type="auto"/>
            <w:hideMark/>
          </w:tcPr>
          <w:p w14:paraId="645CC983"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Impianti termici</w:t>
            </w:r>
          </w:p>
        </w:tc>
        <w:tc>
          <w:tcPr>
            <w:tcW w:w="0" w:type="auto"/>
            <w:hideMark/>
          </w:tcPr>
          <w:p w14:paraId="56AB8C57"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Coibentazioni di tubazioni, caldaie, serbatoi, guarnizioni, corde, baderne</w:t>
            </w:r>
          </w:p>
        </w:tc>
      </w:tr>
      <w:tr w:rsidR="009826A8" w:rsidRPr="009826A8" w14:paraId="15AA2E40" w14:textId="77777777" w:rsidTr="009826A8">
        <w:tc>
          <w:tcPr>
            <w:tcW w:w="0" w:type="auto"/>
            <w:hideMark/>
          </w:tcPr>
          <w:p w14:paraId="761B5DDA"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Impianti elettrici</w:t>
            </w:r>
          </w:p>
        </w:tc>
        <w:tc>
          <w:tcPr>
            <w:tcW w:w="0" w:type="auto"/>
            <w:hideMark/>
          </w:tcPr>
          <w:p w14:paraId="12EC7DFE"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Quadri elettrici, pannelli isolanti, guaine, carte e tele isolanti</w:t>
            </w:r>
          </w:p>
        </w:tc>
      </w:tr>
      <w:tr w:rsidR="009826A8" w:rsidRPr="009826A8" w14:paraId="59AC5F67" w14:textId="77777777" w:rsidTr="009826A8">
        <w:tc>
          <w:tcPr>
            <w:tcW w:w="0" w:type="auto"/>
            <w:hideMark/>
          </w:tcPr>
          <w:p w14:paraId="3CBD10D6"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Pavimenti</w:t>
            </w:r>
          </w:p>
        </w:tc>
        <w:tc>
          <w:tcPr>
            <w:tcW w:w="0" w:type="auto"/>
            <w:hideMark/>
          </w:tcPr>
          <w:p w14:paraId="3C3BB570"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 xml:space="preserve">Piastrelle </w:t>
            </w:r>
            <w:proofErr w:type="spellStart"/>
            <w:r w:rsidRPr="009826A8">
              <w:rPr>
                <w:rFonts w:ascii="Times New Roman" w:eastAsia="Times New Roman" w:hAnsi="Times New Roman" w:cs="Times New Roman"/>
                <w:kern w:val="0"/>
                <w:sz w:val="24"/>
                <w:szCs w:val="24"/>
                <w:lang w:eastAsia="it-IT"/>
                <w14:ligatures w14:val="none"/>
              </w:rPr>
              <w:t>vinil</w:t>
            </w:r>
            <w:proofErr w:type="spellEnd"/>
            <w:r w:rsidRPr="009826A8">
              <w:rPr>
                <w:rFonts w:ascii="Times New Roman" w:eastAsia="Times New Roman" w:hAnsi="Times New Roman" w:cs="Times New Roman"/>
                <w:kern w:val="0"/>
                <w:sz w:val="24"/>
                <w:szCs w:val="24"/>
                <w:lang w:eastAsia="it-IT"/>
                <w14:ligatures w14:val="none"/>
              </w:rPr>
              <w:t>-amianto, collanti bituminosi, adesivi neri</w:t>
            </w:r>
          </w:p>
        </w:tc>
      </w:tr>
      <w:tr w:rsidR="009826A8" w:rsidRPr="009826A8" w14:paraId="6B2C6A15" w14:textId="77777777" w:rsidTr="009826A8">
        <w:tc>
          <w:tcPr>
            <w:tcW w:w="0" w:type="auto"/>
            <w:hideMark/>
          </w:tcPr>
          <w:p w14:paraId="44D4EAD4"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Interni</w:t>
            </w:r>
          </w:p>
        </w:tc>
        <w:tc>
          <w:tcPr>
            <w:tcW w:w="0" w:type="auto"/>
            <w:hideMark/>
          </w:tcPr>
          <w:p w14:paraId="37419CE2"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Controsoffitti, pannelli antincendio, intonaci, stucchi, rasanti, mastici</w:t>
            </w:r>
          </w:p>
        </w:tc>
      </w:tr>
      <w:tr w:rsidR="009826A8" w:rsidRPr="009826A8" w14:paraId="563427EF" w14:textId="77777777" w:rsidTr="009826A8">
        <w:tc>
          <w:tcPr>
            <w:tcW w:w="0" w:type="auto"/>
            <w:hideMark/>
          </w:tcPr>
          <w:p w14:paraId="21EE9B9F"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Canne fumarie e condotte</w:t>
            </w:r>
          </w:p>
        </w:tc>
        <w:tc>
          <w:tcPr>
            <w:tcW w:w="0" w:type="auto"/>
            <w:hideMark/>
          </w:tcPr>
          <w:p w14:paraId="59D4DD21"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Condotti in cemento-amianto, tubazioni, canali di ventilazione</w:t>
            </w:r>
          </w:p>
        </w:tc>
      </w:tr>
      <w:tr w:rsidR="009826A8" w:rsidRPr="009826A8" w14:paraId="19372773" w14:textId="77777777" w:rsidTr="009826A8">
        <w:tc>
          <w:tcPr>
            <w:tcW w:w="0" w:type="auto"/>
            <w:hideMark/>
          </w:tcPr>
          <w:p w14:paraId="29ECD9B6"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Elementi antincendio</w:t>
            </w:r>
          </w:p>
        </w:tc>
        <w:tc>
          <w:tcPr>
            <w:tcW w:w="0" w:type="auto"/>
            <w:hideMark/>
          </w:tcPr>
          <w:p w14:paraId="7E68E571"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Rivestimenti spruzzati, pannelli leggeri, protezioni passive al fuoco</w:t>
            </w:r>
          </w:p>
        </w:tc>
      </w:tr>
    </w:tbl>
    <w:p w14:paraId="73F122F1" w14:textId="77777777" w:rsidR="009826A8" w:rsidRPr="009826A8" w:rsidRDefault="009826A8" w:rsidP="009826A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 xml:space="preserve">Nel settore delle costruzioni, l’amianto è stato spesso impiegato come componente di rinforzo o miglioramento prestazionale di altri materiali; per questo motivo molti manufatti non sono immediatamente riconoscibili con la sola osservazione visiva. In presenza di materiali sospetti in edifici compatibili per epoca e tecnica costruttiva, è prudente considerarli potenzialmente contenenti amianto fino a verifica analitica. </w:t>
      </w:r>
    </w:p>
    <w:p w14:paraId="04D6724A" w14:textId="77777777" w:rsidR="009826A8" w:rsidRPr="009826A8" w:rsidRDefault="009826A8" w:rsidP="009826A8">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9826A8">
        <w:rPr>
          <w:rFonts w:ascii="Times New Roman" w:eastAsia="Times New Roman" w:hAnsi="Times New Roman" w:cs="Times New Roman"/>
          <w:b/>
          <w:bCs/>
          <w:kern w:val="0"/>
          <w:sz w:val="36"/>
          <w:szCs w:val="36"/>
          <w:lang w:eastAsia="it-IT"/>
          <w14:ligatures w14:val="none"/>
        </w:rPr>
        <w:t>Presenza di amianto: non sempre significa rischio immediato</w:t>
      </w:r>
    </w:p>
    <w:p w14:paraId="31EB2260" w14:textId="77777777" w:rsidR="009826A8" w:rsidRPr="009826A8" w:rsidRDefault="009826A8" w:rsidP="009826A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Un principio fondamentale è che la semplice presenza di materiali contenenti amianto in un edificio non determina automaticamente un’esposizione significativa per gli occupanti. Il rischio dipende da vari fattori:</w:t>
      </w:r>
    </w:p>
    <w:tbl>
      <w:tblPr>
        <w:tblStyle w:val="Grigliatabella"/>
        <w:tblW w:w="9889" w:type="dxa"/>
        <w:tblLook w:val="04A0" w:firstRow="1" w:lastRow="0" w:firstColumn="1" w:lastColumn="0" w:noHBand="0" w:noVBand="1"/>
      </w:tblPr>
      <w:tblGrid>
        <w:gridCol w:w="2389"/>
        <w:gridCol w:w="7500"/>
      </w:tblGrid>
      <w:tr w:rsidR="009826A8" w:rsidRPr="009826A8" w14:paraId="70F5F0BB" w14:textId="77777777" w:rsidTr="009826A8">
        <w:tc>
          <w:tcPr>
            <w:tcW w:w="0" w:type="auto"/>
            <w:hideMark/>
          </w:tcPr>
          <w:p w14:paraId="24929E22" w14:textId="77777777" w:rsidR="009826A8" w:rsidRPr="009826A8" w:rsidRDefault="009826A8" w:rsidP="009826A8">
            <w:pPr>
              <w:jc w:val="center"/>
              <w:rPr>
                <w:rFonts w:ascii="Times New Roman" w:eastAsia="Times New Roman" w:hAnsi="Times New Roman" w:cs="Times New Roman"/>
                <w:b/>
                <w:bCs/>
                <w:kern w:val="0"/>
                <w:sz w:val="24"/>
                <w:szCs w:val="24"/>
                <w:lang w:eastAsia="it-IT"/>
                <w14:ligatures w14:val="none"/>
              </w:rPr>
            </w:pPr>
            <w:r w:rsidRPr="009826A8">
              <w:rPr>
                <w:rFonts w:ascii="Times New Roman" w:eastAsia="Times New Roman" w:hAnsi="Times New Roman" w:cs="Times New Roman"/>
                <w:b/>
                <w:bCs/>
                <w:kern w:val="0"/>
                <w:sz w:val="24"/>
                <w:szCs w:val="24"/>
                <w:lang w:eastAsia="it-IT"/>
                <w14:ligatures w14:val="none"/>
              </w:rPr>
              <w:t>Fattore</w:t>
            </w:r>
          </w:p>
        </w:tc>
        <w:tc>
          <w:tcPr>
            <w:tcW w:w="7500" w:type="dxa"/>
            <w:hideMark/>
          </w:tcPr>
          <w:p w14:paraId="27C94F5A" w14:textId="77777777" w:rsidR="009826A8" w:rsidRPr="009826A8" w:rsidRDefault="009826A8" w:rsidP="009826A8">
            <w:pPr>
              <w:jc w:val="center"/>
              <w:rPr>
                <w:rFonts w:ascii="Times New Roman" w:eastAsia="Times New Roman" w:hAnsi="Times New Roman" w:cs="Times New Roman"/>
                <w:b/>
                <w:bCs/>
                <w:kern w:val="0"/>
                <w:sz w:val="24"/>
                <w:szCs w:val="24"/>
                <w:lang w:eastAsia="it-IT"/>
                <w14:ligatures w14:val="none"/>
              </w:rPr>
            </w:pPr>
            <w:r w:rsidRPr="009826A8">
              <w:rPr>
                <w:rFonts w:ascii="Times New Roman" w:eastAsia="Times New Roman" w:hAnsi="Times New Roman" w:cs="Times New Roman"/>
                <w:b/>
                <w:bCs/>
                <w:kern w:val="0"/>
                <w:sz w:val="24"/>
                <w:szCs w:val="24"/>
                <w:lang w:eastAsia="it-IT"/>
                <w14:ligatures w14:val="none"/>
              </w:rPr>
              <w:t>Incidenza sul rischio</w:t>
            </w:r>
          </w:p>
        </w:tc>
      </w:tr>
      <w:tr w:rsidR="009826A8" w:rsidRPr="009826A8" w14:paraId="46B0A008" w14:textId="77777777" w:rsidTr="009826A8">
        <w:tc>
          <w:tcPr>
            <w:tcW w:w="0" w:type="auto"/>
            <w:hideMark/>
          </w:tcPr>
          <w:p w14:paraId="26212940"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Natura del materiale</w:t>
            </w:r>
          </w:p>
        </w:tc>
        <w:tc>
          <w:tcPr>
            <w:tcW w:w="7500" w:type="dxa"/>
            <w:hideMark/>
          </w:tcPr>
          <w:p w14:paraId="613844B4"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Friabile o compatto</w:t>
            </w:r>
          </w:p>
        </w:tc>
      </w:tr>
      <w:tr w:rsidR="009826A8" w:rsidRPr="009826A8" w14:paraId="1E92AADF" w14:textId="77777777" w:rsidTr="009826A8">
        <w:tc>
          <w:tcPr>
            <w:tcW w:w="0" w:type="auto"/>
            <w:hideMark/>
          </w:tcPr>
          <w:p w14:paraId="00F8294E"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Stato di conservazione</w:t>
            </w:r>
          </w:p>
        </w:tc>
        <w:tc>
          <w:tcPr>
            <w:tcW w:w="7500" w:type="dxa"/>
            <w:hideMark/>
          </w:tcPr>
          <w:p w14:paraId="4B553302"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Integro, danneggiato, degradato, sfaldato</w:t>
            </w:r>
          </w:p>
        </w:tc>
      </w:tr>
      <w:tr w:rsidR="009826A8" w:rsidRPr="009826A8" w14:paraId="5280E98E" w14:textId="77777777" w:rsidTr="009826A8">
        <w:tc>
          <w:tcPr>
            <w:tcW w:w="0" w:type="auto"/>
            <w:hideMark/>
          </w:tcPr>
          <w:p w14:paraId="7BB1F577"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Accessibilità</w:t>
            </w:r>
          </w:p>
        </w:tc>
        <w:tc>
          <w:tcPr>
            <w:tcW w:w="7500" w:type="dxa"/>
            <w:hideMark/>
          </w:tcPr>
          <w:p w14:paraId="7522C8DE"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Materiale raggiungibile o protetto</w:t>
            </w:r>
          </w:p>
        </w:tc>
      </w:tr>
      <w:tr w:rsidR="009826A8" w:rsidRPr="009826A8" w14:paraId="7892CCD3" w14:textId="77777777" w:rsidTr="009826A8">
        <w:tc>
          <w:tcPr>
            <w:tcW w:w="0" w:type="auto"/>
            <w:hideMark/>
          </w:tcPr>
          <w:p w14:paraId="368CBEA2"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Possibilità di disturbo</w:t>
            </w:r>
          </w:p>
        </w:tc>
        <w:tc>
          <w:tcPr>
            <w:tcW w:w="7500" w:type="dxa"/>
            <w:hideMark/>
          </w:tcPr>
          <w:p w14:paraId="507A22B8"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Manutenzioni, urti, vibrazioni, perforazioni, demolizioni</w:t>
            </w:r>
          </w:p>
        </w:tc>
      </w:tr>
      <w:tr w:rsidR="009826A8" w:rsidRPr="009826A8" w14:paraId="60F285A5" w14:textId="77777777" w:rsidTr="009826A8">
        <w:tc>
          <w:tcPr>
            <w:tcW w:w="0" w:type="auto"/>
            <w:hideMark/>
          </w:tcPr>
          <w:p w14:paraId="32C8AEA4"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Condizioni ambientali</w:t>
            </w:r>
          </w:p>
        </w:tc>
        <w:tc>
          <w:tcPr>
            <w:tcW w:w="7500" w:type="dxa"/>
            <w:hideMark/>
          </w:tcPr>
          <w:p w14:paraId="57E0AA4F"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Infiltrazioni, correnti d’aria, agenti atmosferici, umidità</w:t>
            </w:r>
          </w:p>
        </w:tc>
      </w:tr>
      <w:tr w:rsidR="009826A8" w:rsidRPr="009826A8" w14:paraId="4D272C00" w14:textId="77777777" w:rsidTr="009826A8">
        <w:tc>
          <w:tcPr>
            <w:tcW w:w="0" w:type="auto"/>
            <w:hideMark/>
          </w:tcPr>
          <w:p w14:paraId="52FDE8D3"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Presenza di persone</w:t>
            </w:r>
          </w:p>
        </w:tc>
        <w:tc>
          <w:tcPr>
            <w:tcW w:w="7500" w:type="dxa"/>
            <w:hideMark/>
          </w:tcPr>
          <w:p w14:paraId="71D9D757"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Numero, frequenza e durata di permanenza degli occupanti</w:t>
            </w:r>
          </w:p>
        </w:tc>
      </w:tr>
      <w:tr w:rsidR="009826A8" w:rsidRPr="009826A8" w14:paraId="22342927" w14:textId="77777777" w:rsidTr="009826A8">
        <w:tc>
          <w:tcPr>
            <w:tcW w:w="0" w:type="auto"/>
            <w:hideMark/>
          </w:tcPr>
          <w:p w14:paraId="72CFDE87"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Ventilazione</w:t>
            </w:r>
          </w:p>
        </w:tc>
        <w:tc>
          <w:tcPr>
            <w:tcW w:w="7500" w:type="dxa"/>
            <w:hideMark/>
          </w:tcPr>
          <w:p w14:paraId="2B98DBC7"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Possibilità di dispersione o risospensione delle fibre</w:t>
            </w:r>
          </w:p>
        </w:tc>
      </w:tr>
      <w:tr w:rsidR="009826A8" w:rsidRPr="009826A8" w14:paraId="0CDFC29B" w14:textId="77777777" w:rsidTr="009826A8">
        <w:tc>
          <w:tcPr>
            <w:tcW w:w="0" w:type="auto"/>
            <w:hideMark/>
          </w:tcPr>
          <w:p w14:paraId="461B7810"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Precedenti interventi</w:t>
            </w:r>
          </w:p>
        </w:tc>
        <w:tc>
          <w:tcPr>
            <w:tcW w:w="7500" w:type="dxa"/>
            <w:hideMark/>
          </w:tcPr>
          <w:p w14:paraId="26D9CED0"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Incapsulamento, confinamento, riparazioni, deterioramenti</w:t>
            </w:r>
          </w:p>
        </w:tc>
      </w:tr>
    </w:tbl>
    <w:p w14:paraId="7F395AE5" w14:textId="77777777" w:rsidR="009826A8" w:rsidRPr="009826A8" w:rsidRDefault="009826A8" w:rsidP="009826A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Un manufatto in cemento-amianto compatto, integro, non accessibile e non soggetto a disturbo può presentare un rischio contenuto. Al contrario, un materiale friabile, degradato, accessibile o interessato da manutenzioni può costituire una situazione critica.</w:t>
      </w:r>
    </w:p>
    <w:p w14:paraId="5660F1EF" w14:textId="77777777" w:rsidR="009826A8" w:rsidRPr="009826A8" w:rsidRDefault="009826A8" w:rsidP="009826A8">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9826A8">
        <w:rPr>
          <w:rFonts w:ascii="Times New Roman" w:eastAsia="Times New Roman" w:hAnsi="Times New Roman" w:cs="Times New Roman"/>
          <w:b/>
          <w:bCs/>
          <w:kern w:val="0"/>
          <w:sz w:val="36"/>
          <w:szCs w:val="36"/>
          <w:lang w:eastAsia="it-IT"/>
          <w14:ligatures w14:val="none"/>
        </w:rPr>
        <w:t>Quadro normativo di riferimento</w:t>
      </w:r>
    </w:p>
    <w:p w14:paraId="602E49A5" w14:textId="77777777" w:rsidR="009826A8" w:rsidRPr="009826A8" w:rsidRDefault="009826A8" w:rsidP="009826A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La gestione del rischio amianto negli edifici si fonda su un quadro normativo articolato. I riferimenti principali sono:</w:t>
      </w:r>
    </w:p>
    <w:tbl>
      <w:tblPr>
        <w:tblStyle w:val="Grigliatabella"/>
        <w:tblW w:w="0" w:type="auto"/>
        <w:tblLook w:val="04A0" w:firstRow="1" w:lastRow="0" w:firstColumn="1" w:lastColumn="0" w:noHBand="0" w:noVBand="1"/>
      </w:tblPr>
      <w:tblGrid>
        <w:gridCol w:w="2673"/>
        <w:gridCol w:w="7181"/>
      </w:tblGrid>
      <w:tr w:rsidR="009826A8" w:rsidRPr="009826A8" w14:paraId="433A52A9" w14:textId="77777777" w:rsidTr="009826A8">
        <w:tc>
          <w:tcPr>
            <w:tcW w:w="0" w:type="auto"/>
            <w:hideMark/>
          </w:tcPr>
          <w:p w14:paraId="6ACC2764" w14:textId="77777777" w:rsidR="009826A8" w:rsidRPr="009826A8" w:rsidRDefault="009826A8" w:rsidP="009826A8">
            <w:pPr>
              <w:jc w:val="center"/>
              <w:rPr>
                <w:rFonts w:ascii="Times New Roman" w:eastAsia="Times New Roman" w:hAnsi="Times New Roman" w:cs="Times New Roman"/>
                <w:b/>
                <w:bCs/>
                <w:kern w:val="0"/>
                <w:sz w:val="24"/>
                <w:szCs w:val="24"/>
                <w:lang w:eastAsia="it-IT"/>
                <w14:ligatures w14:val="none"/>
              </w:rPr>
            </w:pPr>
            <w:r w:rsidRPr="009826A8">
              <w:rPr>
                <w:rFonts w:ascii="Times New Roman" w:eastAsia="Times New Roman" w:hAnsi="Times New Roman" w:cs="Times New Roman"/>
                <w:b/>
                <w:bCs/>
                <w:kern w:val="0"/>
                <w:sz w:val="24"/>
                <w:szCs w:val="24"/>
                <w:lang w:eastAsia="it-IT"/>
                <w14:ligatures w14:val="none"/>
              </w:rPr>
              <w:t>Riferimento</w:t>
            </w:r>
          </w:p>
        </w:tc>
        <w:tc>
          <w:tcPr>
            <w:tcW w:w="0" w:type="auto"/>
            <w:hideMark/>
          </w:tcPr>
          <w:p w14:paraId="3510091C" w14:textId="77777777" w:rsidR="009826A8" w:rsidRPr="009826A8" w:rsidRDefault="009826A8" w:rsidP="009826A8">
            <w:pPr>
              <w:jc w:val="center"/>
              <w:rPr>
                <w:rFonts w:ascii="Times New Roman" w:eastAsia="Times New Roman" w:hAnsi="Times New Roman" w:cs="Times New Roman"/>
                <w:b/>
                <w:bCs/>
                <w:kern w:val="0"/>
                <w:sz w:val="24"/>
                <w:szCs w:val="24"/>
                <w:lang w:eastAsia="it-IT"/>
                <w14:ligatures w14:val="none"/>
              </w:rPr>
            </w:pPr>
            <w:r w:rsidRPr="009826A8">
              <w:rPr>
                <w:rFonts w:ascii="Times New Roman" w:eastAsia="Times New Roman" w:hAnsi="Times New Roman" w:cs="Times New Roman"/>
                <w:b/>
                <w:bCs/>
                <w:kern w:val="0"/>
                <w:sz w:val="24"/>
                <w:szCs w:val="24"/>
                <w:lang w:eastAsia="it-IT"/>
                <w14:ligatures w14:val="none"/>
              </w:rPr>
              <w:t>Contenuto essenziale</w:t>
            </w:r>
          </w:p>
        </w:tc>
      </w:tr>
      <w:tr w:rsidR="009826A8" w:rsidRPr="009826A8" w14:paraId="67A30D1E" w14:textId="77777777" w:rsidTr="009826A8">
        <w:tc>
          <w:tcPr>
            <w:tcW w:w="0" w:type="auto"/>
            <w:hideMark/>
          </w:tcPr>
          <w:p w14:paraId="2F81EEEB"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Legge 27 marzo 1992, n. 257</w:t>
            </w:r>
          </w:p>
        </w:tc>
        <w:tc>
          <w:tcPr>
            <w:tcW w:w="0" w:type="auto"/>
            <w:hideMark/>
          </w:tcPr>
          <w:p w14:paraId="26B778D3"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Cessazione dell’impiego dell’amianto in Italia</w:t>
            </w:r>
          </w:p>
        </w:tc>
      </w:tr>
      <w:tr w:rsidR="009826A8" w:rsidRPr="009826A8" w14:paraId="2CAEE4F0" w14:textId="77777777" w:rsidTr="009826A8">
        <w:tc>
          <w:tcPr>
            <w:tcW w:w="0" w:type="auto"/>
            <w:hideMark/>
          </w:tcPr>
          <w:p w14:paraId="753B2943"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D.M. 6 settembre 1994</w:t>
            </w:r>
          </w:p>
        </w:tc>
        <w:tc>
          <w:tcPr>
            <w:tcW w:w="0" w:type="auto"/>
            <w:hideMark/>
          </w:tcPr>
          <w:p w14:paraId="79AAE8B8"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Metodologie tecniche per valutazione, controllo, manutenzione e bonifica dei materiali contenenti amianto negli edifici</w:t>
            </w:r>
          </w:p>
        </w:tc>
      </w:tr>
      <w:tr w:rsidR="009826A8" w:rsidRPr="009826A8" w14:paraId="0D3CA77E" w14:textId="77777777" w:rsidTr="009826A8">
        <w:tc>
          <w:tcPr>
            <w:tcW w:w="0" w:type="auto"/>
            <w:hideMark/>
          </w:tcPr>
          <w:p w14:paraId="4C919C09"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proofErr w:type="spellStart"/>
            <w:r w:rsidRPr="009826A8">
              <w:rPr>
                <w:rFonts w:ascii="Times New Roman" w:eastAsia="Times New Roman" w:hAnsi="Times New Roman" w:cs="Times New Roman"/>
                <w:kern w:val="0"/>
                <w:sz w:val="24"/>
                <w:szCs w:val="24"/>
                <w:lang w:eastAsia="it-IT"/>
                <w14:ligatures w14:val="none"/>
              </w:rPr>
              <w:t>D.Lgs.</w:t>
            </w:r>
            <w:proofErr w:type="spellEnd"/>
            <w:r w:rsidRPr="009826A8">
              <w:rPr>
                <w:rFonts w:ascii="Times New Roman" w:eastAsia="Times New Roman" w:hAnsi="Times New Roman" w:cs="Times New Roman"/>
                <w:kern w:val="0"/>
                <w:sz w:val="24"/>
                <w:szCs w:val="24"/>
                <w:lang w:eastAsia="it-IT"/>
                <w14:ligatures w14:val="none"/>
              </w:rPr>
              <w:t xml:space="preserve"> 81/2008, Titolo IX, Capo III</w:t>
            </w:r>
          </w:p>
        </w:tc>
        <w:tc>
          <w:tcPr>
            <w:tcW w:w="0" w:type="auto"/>
            <w:hideMark/>
          </w:tcPr>
          <w:p w14:paraId="091BDEBD"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Protezione dei lavoratori dai rischi connessi all’esposizione ad amianto</w:t>
            </w:r>
          </w:p>
        </w:tc>
      </w:tr>
      <w:tr w:rsidR="009826A8" w:rsidRPr="009826A8" w14:paraId="373583CA" w14:textId="77777777" w:rsidTr="009826A8">
        <w:tc>
          <w:tcPr>
            <w:tcW w:w="0" w:type="auto"/>
            <w:hideMark/>
          </w:tcPr>
          <w:p w14:paraId="6AF25467"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proofErr w:type="spellStart"/>
            <w:r w:rsidRPr="009826A8">
              <w:rPr>
                <w:rFonts w:ascii="Times New Roman" w:eastAsia="Times New Roman" w:hAnsi="Times New Roman" w:cs="Times New Roman"/>
                <w:kern w:val="0"/>
                <w:sz w:val="24"/>
                <w:szCs w:val="24"/>
                <w:lang w:eastAsia="it-IT"/>
                <w14:ligatures w14:val="none"/>
              </w:rPr>
              <w:t>D.Lgs.</w:t>
            </w:r>
            <w:proofErr w:type="spellEnd"/>
            <w:r w:rsidRPr="009826A8">
              <w:rPr>
                <w:rFonts w:ascii="Times New Roman" w:eastAsia="Times New Roman" w:hAnsi="Times New Roman" w:cs="Times New Roman"/>
                <w:kern w:val="0"/>
                <w:sz w:val="24"/>
                <w:szCs w:val="24"/>
                <w:lang w:eastAsia="it-IT"/>
                <w14:ligatures w14:val="none"/>
              </w:rPr>
              <w:t xml:space="preserve"> 152/2006</w:t>
            </w:r>
          </w:p>
        </w:tc>
        <w:tc>
          <w:tcPr>
            <w:tcW w:w="0" w:type="auto"/>
            <w:hideMark/>
          </w:tcPr>
          <w:p w14:paraId="6D9CE621"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Gestione ambientale e rifiuti, inclusi rifiuti contenenti amianto</w:t>
            </w:r>
          </w:p>
        </w:tc>
      </w:tr>
      <w:tr w:rsidR="009826A8" w:rsidRPr="009826A8" w14:paraId="3757782E" w14:textId="77777777" w:rsidTr="009826A8">
        <w:tc>
          <w:tcPr>
            <w:tcW w:w="0" w:type="auto"/>
            <w:hideMark/>
          </w:tcPr>
          <w:p w14:paraId="1B0DA358"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Direttiva (UE) 2023/2668</w:t>
            </w:r>
          </w:p>
        </w:tc>
        <w:tc>
          <w:tcPr>
            <w:tcW w:w="0" w:type="auto"/>
            <w:hideMark/>
          </w:tcPr>
          <w:p w14:paraId="75401AF7"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Rafforzamento della tutela dei lavoratori esposti ad amianto</w:t>
            </w:r>
          </w:p>
        </w:tc>
      </w:tr>
      <w:tr w:rsidR="009826A8" w:rsidRPr="009826A8" w14:paraId="783A113D" w14:textId="77777777" w:rsidTr="009826A8">
        <w:tc>
          <w:tcPr>
            <w:tcW w:w="0" w:type="auto"/>
            <w:hideMark/>
          </w:tcPr>
          <w:p w14:paraId="31AA5FB1"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proofErr w:type="spellStart"/>
            <w:r w:rsidRPr="009826A8">
              <w:rPr>
                <w:rFonts w:ascii="Times New Roman" w:eastAsia="Times New Roman" w:hAnsi="Times New Roman" w:cs="Times New Roman"/>
                <w:kern w:val="0"/>
                <w:sz w:val="24"/>
                <w:szCs w:val="24"/>
                <w:lang w:eastAsia="it-IT"/>
                <w14:ligatures w14:val="none"/>
              </w:rPr>
              <w:t>D.Lgs.</w:t>
            </w:r>
            <w:proofErr w:type="spellEnd"/>
            <w:r w:rsidRPr="009826A8">
              <w:rPr>
                <w:rFonts w:ascii="Times New Roman" w:eastAsia="Times New Roman" w:hAnsi="Times New Roman" w:cs="Times New Roman"/>
                <w:kern w:val="0"/>
                <w:sz w:val="24"/>
                <w:szCs w:val="24"/>
                <w:lang w:eastAsia="it-IT"/>
                <w14:ligatures w14:val="none"/>
              </w:rPr>
              <w:t xml:space="preserve"> 31 dicembre 2025, n. 213</w:t>
            </w:r>
          </w:p>
        </w:tc>
        <w:tc>
          <w:tcPr>
            <w:tcW w:w="0" w:type="auto"/>
            <w:hideMark/>
          </w:tcPr>
          <w:p w14:paraId="7025E11D"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 xml:space="preserve">Recepimento nazionale della direttiva europea e modifica del </w:t>
            </w:r>
            <w:proofErr w:type="spellStart"/>
            <w:r w:rsidRPr="009826A8">
              <w:rPr>
                <w:rFonts w:ascii="Times New Roman" w:eastAsia="Times New Roman" w:hAnsi="Times New Roman" w:cs="Times New Roman"/>
                <w:kern w:val="0"/>
                <w:sz w:val="24"/>
                <w:szCs w:val="24"/>
                <w:lang w:eastAsia="it-IT"/>
                <w14:ligatures w14:val="none"/>
              </w:rPr>
              <w:t>D.Lgs.</w:t>
            </w:r>
            <w:proofErr w:type="spellEnd"/>
            <w:r w:rsidRPr="009826A8">
              <w:rPr>
                <w:rFonts w:ascii="Times New Roman" w:eastAsia="Times New Roman" w:hAnsi="Times New Roman" w:cs="Times New Roman"/>
                <w:kern w:val="0"/>
                <w:sz w:val="24"/>
                <w:szCs w:val="24"/>
                <w:lang w:eastAsia="it-IT"/>
                <w14:ligatures w14:val="none"/>
              </w:rPr>
              <w:t xml:space="preserve"> 81/2008</w:t>
            </w:r>
          </w:p>
        </w:tc>
      </w:tr>
      <w:tr w:rsidR="009826A8" w:rsidRPr="009826A8" w14:paraId="7F78CDE2" w14:textId="77777777" w:rsidTr="009826A8">
        <w:tc>
          <w:tcPr>
            <w:tcW w:w="0" w:type="auto"/>
            <w:hideMark/>
          </w:tcPr>
          <w:p w14:paraId="66B44D2A"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UNI 11870:2022</w:t>
            </w:r>
          </w:p>
        </w:tc>
        <w:tc>
          <w:tcPr>
            <w:tcW w:w="0" w:type="auto"/>
            <w:hideMark/>
          </w:tcPr>
          <w:p w14:paraId="2E0135C7"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Criteri e metodi per individuazione e censimento dei MCA</w:t>
            </w:r>
          </w:p>
        </w:tc>
      </w:tr>
      <w:tr w:rsidR="009826A8" w:rsidRPr="009826A8" w14:paraId="7886A894" w14:textId="77777777" w:rsidTr="009826A8">
        <w:tc>
          <w:tcPr>
            <w:tcW w:w="0" w:type="auto"/>
            <w:hideMark/>
          </w:tcPr>
          <w:p w14:paraId="587F58F3"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UNI 11903:2023</w:t>
            </w:r>
          </w:p>
        </w:tc>
        <w:tc>
          <w:tcPr>
            <w:tcW w:w="0" w:type="auto"/>
            <w:hideMark/>
          </w:tcPr>
          <w:p w14:paraId="28845A3D"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Requisiti dell’addetto al censimento dei materiali contenenti amianto</w:t>
            </w:r>
          </w:p>
        </w:tc>
      </w:tr>
      <w:tr w:rsidR="009826A8" w:rsidRPr="009826A8" w14:paraId="33CE8766" w14:textId="77777777" w:rsidTr="009826A8">
        <w:tc>
          <w:tcPr>
            <w:tcW w:w="0" w:type="auto"/>
            <w:hideMark/>
          </w:tcPr>
          <w:p w14:paraId="60FE2E79"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UNI/</w:t>
            </w:r>
            <w:proofErr w:type="spellStart"/>
            <w:r w:rsidRPr="009826A8">
              <w:rPr>
                <w:rFonts w:ascii="Times New Roman" w:eastAsia="Times New Roman" w:hAnsi="Times New Roman" w:cs="Times New Roman"/>
                <w:kern w:val="0"/>
                <w:sz w:val="24"/>
                <w:szCs w:val="24"/>
                <w:lang w:eastAsia="it-IT"/>
                <w14:ligatures w14:val="none"/>
              </w:rPr>
              <w:t>PdR</w:t>
            </w:r>
            <w:proofErr w:type="spellEnd"/>
            <w:r w:rsidRPr="009826A8">
              <w:rPr>
                <w:rFonts w:ascii="Times New Roman" w:eastAsia="Times New Roman" w:hAnsi="Times New Roman" w:cs="Times New Roman"/>
                <w:kern w:val="0"/>
                <w:sz w:val="24"/>
                <w:szCs w:val="24"/>
                <w:lang w:eastAsia="it-IT"/>
                <w14:ligatures w14:val="none"/>
              </w:rPr>
              <w:t xml:space="preserve"> 152.1:2023</w:t>
            </w:r>
          </w:p>
        </w:tc>
        <w:tc>
          <w:tcPr>
            <w:tcW w:w="0" w:type="auto"/>
            <w:hideMark/>
          </w:tcPr>
          <w:p w14:paraId="1249C9C7"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Valutazione dello stato di conservazione di coperture e tamponamenti in cemento-amianto</w:t>
            </w:r>
          </w:p>
        </w:tc>
      </w:tr>
      <w:tr w:rsidR="009826A8" w:rsidRPr="009826A8" w14:paraId="3D94C053" w14:textId="77777777" w:rsidTr="009826A8">
        <w:tc>
          <w:tcPr>
            <w:tcW w:w="0" w:type="auto"/>
            <w:hideMark/>
          </w:tcPr>
          <w:p w14:paraId="152D1F10"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UNI/</w:t>
            </w:r>
            <w:proofErr w:type="spellStart"/>
            <w:r w:rsidRPr="009826A8">
              <w:rPr>
                <w:rFonts w:ascii="Times New Roman" w:eastAsia="Times New Roman" w:hAnsi="Times New Roman" w:cs="Times New Roman"/>
                <w:kern w:val="0"/>
                <w:sz w:val="24"/>
                <w:szCs w:val="24"/>
                <w:lang w:eastAsia="it-IT"/>
                <w14:ligatures w14:val="none"/>
              </w:rPr>
              <w:t>PdR</w:t>
            </w:r>
            <w:proofErr w:type="spellEnd"/>
            <w:r w:rsidRPr="009826A8">
              <w:rPr>
                <w:rFonts w:ascii="Times New Roman" w:eastAsia="Times New Roman" w:hAnsi="Times New Roman" w:cs="Times New Roman"/>
                <w:kern w:val="0"/>
                <w:sz w:val="24"/>
                <w:szCs w:val="24"/>
                <w:lang w:eastAsia="it-IT"/>
                <w14:ligatures w14:val="none"/>
              </w:rPr>
              <w:t xml:space="preserve"> 152.2:2023</w:t>
            </w:r>
          </w:p>
        </w:tc>
        <w:tc>
          <w:tcPr>
            <w:tcW w:w="0" w:type="auto"/>
            <w:hideMark/>
          </w:tcPr>
          <w:p w14:paraId="7F0D5577"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Requisiti di competenza, conoscenza ed esperienza del Responsabile Rischio Amianto</w:t>
            </w:r>
          </w:p>
        </w:tc>
      </w:tr>
    </w:tbl>
    <w:p w14:paraId="0EA30101" w14:textId="77777777" w:rsidR="009826A8" w:rsidRPr="009826A8" w:rsidRDefault="009826A8" w:rsidP="009826A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 xml:space="preserve">Il D.M. 6 settembre 1994 resta il riferimento tecnico principale per la gestione dei materiali contenenti amianto negli edifici, mentre il nuovo quadro europeo e nazionale rafforza l’obbligo di individuazione preventiva dei materiali a potenziale contenuto di amianto prima di attività di manutenzione, ristrutturazione o demolizione. </w:t>
      </w:r>
    </w:p>
    <w:p w14:paraId="1E6A3677" w14:textId="77777777" w:rsidR="009826A8" w:rsidRPr="009826A8" w:rsidRDefault="009826A8" w:rsidP="009826A8">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9826A8">
        <w:rPr>
          <w:rFonts w:ascii="Times New Roman" w:eastAsia="Times New Roman" w:hAnsi="Times New Roman" w:cs="Times New Roman"/>
          <w:b/>
          <w:bCs/>
          <w:kern w:val="0"/>
          <w:sz w:val="36"/>
          <w:szCs w:val="36"/>
          <w:lang w:eastAsia="it-IT"/>
          <w14:ligatures w14:val="none"/>
        </w:rPr>
        <w:t>I soggetti coinvolti nella gestione del rischio amianto</w:t>
      </w:r>
    </w:p>
    <w:p w14:paraId="6BB8486C" w14:textId="77777777" w:rsidR="009826A8" w:rsidRPr="009826A8" w:rsidRDefault="009826A8" w:rsidP="009826A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La gestione dell’amianto in un edificio richiede l’intervento coordinato di più figure.</w:t>
      </w:r>
    </w:p>
    <w:tbl>
      <w:tblPr>
        <w:tblStyle w:val="Grigliatabella"/>
        <w:tblW w:w="0" w:type="auto"/>
        <w:tblLook w:val="04A0" w:firstRow="1" w:lastRow="0" w:firstColumn="1" w:lastColumn="0" w:noHBand="0" w:noVBand="1"/>
      </w:tblPr>
      <w:tblGrid>
        <w:gridCol w:w="3355"/>
        <w:gridCol w:w="6499"/>
      </w:tblGrid>
      <w:tr w:rsidR="009826A8" w:rsidRPr="009826A8" w14:paraId="7E576060" w14:textId="77777777" w:rsidTr="009826A8">
        <w:tc>
          <w:tcPr>
            <w:tcW w:w="0" w:type="auto"/>
            <w:hideMark/>
          </w:tcPr>
          <w:p w14:paraId="17BF453B" w14:textId="77777777" w:rsidR="009826A8" w:rsidRPr="009826A8" w:rsidRDefault="009826A8" w:rsidP="009826A8">
            <w:pPr>
              <w:jc w:val="center"/>
              <w:rPr>
                <w:rFonts w:ascii="Times New Roman" w:eastAsia="Times New Roman" w:hAnsi="Times New Roman" w:cs="Times New Roman"/>
                <w:b/>
                <w:bCs/>
                <w:kern w:val="0"/>
                <w:sz w:val="24"/>
                <w:szCs w:val="24"/>
                <w:lang w:eastAsia="it-IT"/>
                <w14:ligatures w14:val="none"/>
              </w:rPr>
            </w:pPr>
            <w:r w:rsidRPr="009826A8">
              <w:rPr>
                <w:rFonts w:ascii="Times New Roman" w:eastAsia="Times New Roman" w:hAnsi="Times New Roman" w:cs="Times New Roman"/>
                <w:b/>
                <w:bCs/>
                <w:kern w:val="0"/>
                <w:sz w:val="24"/>
                <w:szCs w:val="24"/>
                <w:lang w:eastAsia="it-IT"/>
                <w14:ligatures w14:val="none"/>
              </w:rPr>
              <w:t>Soggetto</w:t>
            </w:r>
          </w:p>
        </w:tc>
        <w:tc>
          <w:tcPr>
            <w:tcW w:w="0" w:type="auto"/>
            <w:hideMark/>
          </w:tcPr>
          <w:p w14:paraId="1FCFB4CA" w14:textId="77777777" w:rsidR="009826A8" w:rsidRPr="009826A8" w:rsidRDefault="009826A8" w:rsidP="009826A8">
            <w:pPr>
              <w:jc w:val="center"/>
              <w:rPr>
                <w:rFonts w:ascii="Times New Roman" w:eastAsia="Times New Roman" w:hAnsi="Times New Roman" w:cs="Times New Roman"/>
                <w:b/>
                <w:bCs/>
                <w:kern w:val="0"/>
                <w:sz w:val="24"/>
                <w:szCs w:val="24"/>
                <w:lang w:eastAsia="it-IT"/>
                <w14:ligatures w14:val="none"/>
              </w:rPr>
            </w:pPr>
            <w:r w:rsidRPr="009826A8">
              <w:rPr>
                <w:rFonts w:ascii="Times New Roman" w:eastAsia="Times New Roman" w:hAnsi="Times New Roman" w:cs="Times New Roman"/>
                <w:b/>
                <w:bCs/>
                <w:kern w:val="0"/>
                <w:sz w:val="24"/>
                <w:szCs w:val="24"/>
                <w:lang w:eastAsia="it-IT"/>
                <w14:ligatures w14:val="none"/>
              </w:rPr>
              <w:t>Compiti principali</w:t>
            </w:r>
          </w:p>
        </w:tc>
      </w:tr>
      <w:tr w:rsidR="009826A8" w:rsidRPr="009826A8" w14:paraId="02C78560" w14:textId="77777777" w:rsidTr="009826A8">
        <w:tc>
          <w:tcPr>
            <w:tcW w:w="0" w:type="auto"/>
            <w:hideMark/>
          </w:tcPr>
          <w:p w14:paraId="79194F83"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Proprietario dell’immobile / responsabile dell’attività</w:t>
            </w:r>
          </w:p>
        </w:tc>
        <w:tc>
          <w:tcPr>
            <w:tcW w:w="0" w:type="auto"/>
            <w:hideMark/>
          </w:tcPr>
          <w:p w14:paraId="5B0C528B"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Attivare la gestione del rischio, nominare la figura responsabile, mantenere la documentazione, informare gli occupanti</w:t>
            </w:r>
          </w:p>
        </w:tc>
      </w:tr>
      <w:tr w:rsidR="009826A8" w:rsidRPr="009826A8" w14:paraId="2ED65F91" w14:textId="77777777" w:rsidTr="009826A8">
        <w:tc>
          <w:tcPr>
            <w:tcW w:w="0" w:type="auto"/>
            <w:hideMark/>
          </w:tcPr>
          <w:p w14:paraId="3B547669"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Datore di lavoro</w:t>
            </w:r>
          </w:p>
        </w:tc>
        <w:tc>
          <w:tcPr>
            <w:tcW w:w="0" w:type="auto"/>
            <w:hideMark/>
          </w:tcPr>
          <w:p w14:paraId="324F7F60"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Valutare i rischi per i lavoratori, integrare il DVR, applicare le misure di prevenzione e protezione</w:t>
            </w:r>
          </w:p>
        </w:tc>
      </w:tr>
      <w:tr w:rsidR="009826A8" w:rsidRPr="009826A8" w14:paraId="2C6071D8" w14:textId="77777777" w:rsidTr="009826A8">
        <w:tc>
          <w:tcPr>
            <w:tcW w:w="0" w:type="auto"/>
            <w:hideMark/>
          </w:tcPr>
          <w:p w14:paraId="711D0169"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RSPP / SPP</w:t>
            </w:r>
          </w:p>
        </w:tc>
        <w:tc>
          <w:tcPr>
            <w:tcW w:w="0" w:type="auto"/>
            <w:hideMark/>
          </w:tcPr>
          <w:p w14:paraId="00CBFAC8"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Supportare il datore di lavoro nella valutazione e gestione del rischio</w:t>
            </w:r>
          </w:p>
        </w:tc>
      </w:tr>
      <w:tr w:rsidR="009826A8" w:rsidRPr="009826A8" w14:paraId="09761D2A" w14:textId="77777777" w:rsidTr="009826A8">
        <w:tc>
          <w:tcPr>
            <w:tcW w:w="0" w:type="auto"/>
            <w:hideMark/>
          </w:tcPr>
          <w:p w14:paraId="0AFC453D"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Responsabile Rischio Amianto – RRA</w:t>
            </w:r>
          </w:p>
        </w:tc>
        <w:tc>
          <w:tcPr>
            <w:tcW w:w="0" w:type="auto"/>
            <w:hideMark/>
          </w:tcPr>
          <w:p w14:paraId="0AF8E501"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Coordinare controllo, manutenzione, censimento, monitoraggio, informative, procedure e supporto alla bonifica</w:t>
            </w:r>
          </w:p>
        </w:tc>
      </w:tr>
      <w:tr w:rsidR="009826A8" w:rsidRPr="009826A8" w14:paraId="278B0361" w14:textId="77777777" w:rsidTr="009826A8">
        <w:tc>
          <w:tcPr>
            <w:tcW w:w="0" w:type="auto"/>
            <w:hideMark/>
          </w:tcPr>
          <w:p w14:paraId="13497C29"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Addetto al censimento</w:t>
            </w:r>
          </w:p>
        </w:tc>
        <w:tc>
          <w:tcPr>
            <w:tcW w:w="0" w:type="auto"/>
            <w:hideMark/>
          </w:tcPr>
          <w:p w14:paraId="052CECF4"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Individuare, caratterizzare e documentare i materiali contenenti amianto</w:t>
            </w:r>
          </w:p>
        </w:tc>
      </w:tr>
      <w:tr w:rsidR="009826A8" w:rsidRPr="009826A8" w14:paraId="042D4D03" w14:textId="77777777" w:rsidTr="009826A8">
        <w:tc>
          <w:tcPr>
            <w:tcW w:w="0" w:type="auto"/>
            <w:hideMark/>
          </w:tcPr>
          <w:p w14:paraId="1B0D5AF2"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Laboratorio qualificato</w:t>
            </w:r>
          </w:p>
        </w:tc>
        <w:tc>
          <w:tcPr>
            <w:tcW w:w="0" w:type="auto"/>
            <w:hideMark/>
          </w:tcPr>
          <w:p w14:paraId="6A66C8AC"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Effettuare analisi su campioni massivi o fibre aerodisperse</w:t>
            </w:r>
          </w:p>
        </w:tc>
      </w:tr>
      <w:tr w:rsidR="009826A8" w:rsidRPr="009826A8" w14:paraId="22F7DCF3" w14:textId="77777777" w:rsidTr="009826A8">
        <w:tc>
          <w:tcPr>
            <w:tcW w:w="0" w:type="auto"/>
            <w:hideMark/>
          </w:tcPr>
          <w:p w14:paraId="58F011B4"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Impresa di bonifica</w:t>
            </w:r>
          </w:p>
        </w:tc>
        <w:tc>
          <w:tcPr>
            <w:tcW w:w="0" w:type="auto"/>
            <w:hideMark/>
          </w:tcPr>
          <w:p w14:paraId="0CE40747"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Eseguire interventi di rimozione, incapsulamento o confinamento se abilitata</w:t>
            </w:r>
          </w:p>
        </w:tc>
      </w:tr>
      <w:tr w:rsidR="009826A8" w:rsidRPr="009826A8" w14:paraId="7E7F508C" w14:textId="77777777" w:rsidTr="009826A8">
        <w:tc>
          <w:tcPr>
            <w:tcW w:w="0" w:type="auto"/>
            <w:hideMark/>
          </w:tcPr>
          <w:p w14:paraId="19E42BEC"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ASL / Organi di vigilanza</w:t>
            </w:r>
          </w:p>
        </w:tc>
        <w:tc>
          <w:tcPr>
            <w:tcW w:w="0" w:type="auto"/>
            <w:hideMark/>
          </w:tcPr>
          <w:p w14:paraId="6175C7D0"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 xml:space="preserve">Controllo, prescrizioni, gestione delle procedure autorizzative e </w:t>
            </w:r>
            <w:proofErr w:type="spellStart"/>
            <w:r w:rsidRPr="009826A8">
              <w:rPr>
                <w:rFonts w:ascii="Times New Roman" w:eastAsia="Times New Roman" w:hAnsi="Times New Roman" w:cs="Times New Roman"/>
                <w:kern w:val="0"/>
                <w:sz w:val="24"/>
                <w:szCs w:val="24"/>
                <w:lang w:eastAsia="it-IT"/>
                <w14:ligatures w14:val="none"/>
              </w:rPr>
              <w:t>restituibilità</w:t>
            </w:r>
            <w:proofErr w:type="spellEnd"/>
            <w:r w:rsidRPr="009826A8">
              <w:rPr>
                <w:rFonts w:ascii="Times New Roman" w:eastAsia="Times New Roman" w:hAnsi="Times New Roman" w:cs="Times New Roman"/>
                <w:kern w:val="0"/>
                <w:sz w:val="24"/>
                <w:szCs w:val="24"/>
                <w:lang w:eastAsia="it-IT"/>
                <w14:ligatures w14:val="none"/>
              </w:rPr>
              <w:t xml:space="preserve"> post-bonifica</w:t>
            </w:r>
          </w:p>
        </w:tc>
      </w:tr>
    </w:tbl>
    <w:p w14:paraId="754210D4" w14:textId="77777777" w:rsidR="009826A8" w:rsidRPr="009826A8" w:rsidRDefault="009826A8" w:rsidP="009826A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 xml:space="preserve">Il proprietario o responsabile dell’attività deve designare una figura responsabile con compiti di controllo e coordinamento delle attività manutentive che possono interessare materiali contenenti amianto; tale figura è comunemente identificata nel Responsabile Rischio Amianto. </w:t>
      </w:r>
    </w:p>
    <w:p w14:paraId="028C8C88" w14:textId="77777777" w:rsidR="009826A8" w:rsidRPr="009826A8" w:rsidRDefault="009826A8" w:rsidP="009826A8">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9826A8">
        <w:rPr>
          <w:rFonts w:ascii="Times New Roman" w:eastAsia="Times New Roman" w:hAnsi="Times New Roman" w:cs="Times New Roman"/>
          <w:b/>
          <w:bCs/>
          <w:kern w:val="0"/>
          <w:sz w:val="36"/>
          <w:szCs w:val="36"/>
          <w:lang w:eastAsia="it-IT"/>
          <w14:ligatures w14:val="none"/>
        </w:rPr>
        <w:t>Censimento amianto: primo passo della gestione</w:t>
      </w:r>
    </w:p>
    <w:p w14:paraId="64F7E617" w14:textId="77777777" w:rsidR="009826A8" w:rsidRPr="009826A8" w:rsidRDefault="009826A8" w:rsidP="009826A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Il censimento è l’attività documentata finalizzata a individuare e caratterizzare i materiali contenenti amianto presenti in edifici, impianti, macchine e attrezzature. È il presupposto per ogni successiva decisione: controllo, manutenzione, monitoraggio, informazione, bonifica o aggiornamento del DVR.</w:t>
      </w:r>
    </w:p>
    <w:p w14:paraId="1542F267" w14:textId="77777777" w:rsidR="009826A8" w:rsidRPr="009826A8" w:rsidRDefault="009826A8" w:rsidP="009826A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Il censimento si articola generalmente in tre fasi:</w:t>
      </w:r>
    </w:p>
    <w:tbl>
      <w:tblPr>
        <w:tblStyle w:val="Grigliatabella"/>
        <w:tblW w:w="0" w:type="auto"/>
        <w:tblLook w:val="04A0" w:firstRow="1" w:lastRow="0" w:firstColumn="1" w:lastColumn="0" w:noHBand="0" w:noVBand="1"/>
      </w:tblPr>
      <w:tblGrid>
        <w:gridCol w:w="2696"/>
        <w:gridCol w:w="7158"/>
      </w:tblGrid>
      <w:tr w:rsidR="009826A8" w:rsidRPr="009826A8" w14:paraId="11E2BC82" w14:textId="77777777" w:rsidTr="009826A8">
        <w:tc>
          <w:tcPr>
            <w:tcW w:w="0" w:type="auto"/>
            <w:hideMark/>
          </w:tcPr>
          <w:p w14:paraId="445A0F11" w14:textId="77777777" w:rsidR="009826A8" w:rsidRPr="009826A8" w:rsidRDefault="009826A8" w:rsidP="009826A8">
            <w:pPr>
              <w:jc w:val="center"/>
              <w:rPr>
                <w:rFonts w:ascii="Times New Roman" w:eastAsia="Times New Roman" w:hAnsi="Times New Roman" w:cs="Times New Roman"/>
                <w:b/>
                <w:bCs/>
                <w:kern w:val="0"/>
                <w:sz w:val="24"/>
                <w:szCs w:val="24"/>
                <w:lang w:eastAsia="it-IT"/>
                <w14:ligatures w14:val="none"/>
              </w:rPr>
            </w:pPr>
            <w:r w:rsidRPr="009826A8">
              <w:rPr>
                <w:rFonts w:ascii="Times New Roman" w:eastAsia="Times New Roman" w:hAnsi="Times New Roman" w:cs="Times New Roman"/>
                <w:b/>
                <w:bCs/>
                <w:kern w:val="0"/>
                <w:sz w:val="24"/>
                <w:szCs w:val="24"/>
                <w:lang w:eastAsia="it-IT"/>
                <w14:ligatures w14:val="none"/>
              </w:rPr>
              <w:t>Fase</w:t>
            </w:r>
          </w:p>
        </w:tc>
        <w:tc>
          <w:tcPr>
            <w:tcW w:w="0" w:type="auto"/>
            <w:hideMark/>
          </w:tcPr>
          <w:p w14:paraId="4E00DB1D" w14:textId="77777777" w:rsidR="009826A8" w:rsidRPr="009826A8" w:rsidRDefault="009826A8" w:rsidP="009826A8">
            <w:pPr>
              <w:jc w:val="center"/>
              <w:rPr>
                <w:rFonts w:ascii="Times New Roman" w:eastAsia="Times New Roman" w:hAnsi="Times New Roman" w:cs="Times New Roman"/>
                <w:b/>
                <w:bCs/>
                <w:kern w:val="0"/>
                <w:sz w:val="24"/>
                <w:szCs w:val="24"/>
                <w:lang w:eastAsia="it-IT"/>
                <w14:ligatures w14:val="none"/>
              </w:rPr>
            </w:pPr>
            <w:r w:rsidRPr="009826A8">
              <w:rPr>
                <w:rFonts w:ascii="Times New Roman" w:eastAsia="Times New Roman" w:hAnsi="Times New Roman" w:cs="Times New Roman"/>
                <w:b/>
                <w:bCs/>
                <w:kern w:val="0"/>
                <w:sz w:val="24"/>
                <w:szCs w:val="24"/>
                <w:lang w:eastAsia="it-IT"/>
                <w14:ligatures w14:val="none"/>
              </w:rPr>
              <w:t>Attività</w:t>
            </w:r>
          </w:p>
        </w:tc>
      </w:tr>
      <w:tr w:rsidR="009826A8" w:rsidRPr="009826A8" w14:paraId="626DA54B" w14:textId="77777777" w:rsidTr="009826A8">
        <w:tc>
          <w:tcPr>
            <w:tcW w:w="0" w:type="auto"/>
            <w:hideMark/>
          </w:tcPr>
          <w:p w14:paraId="426679F4"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Indagini preliminari</w:t>
            </w:r>
          </w:p>
        </w:tc>
        <w:tc>
          <w:tcPr>
            <w:tcW w:w="0" w:type="auto"/>
            <w:hideMark/>
          </w:tcPr>
          <w:p w14:paraId="70615E5A"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Raccolta di planimetrie, documenti tecnici, età dell’edificio, precedenti interventi, destinazioni d’uso</w:t>
            </w:r>
          </w:p>
        </w:tc>
      </w:tr>
      <w:tr w:rsidR="009826A8" w:rsidRPr="009826A8" w14:paraId="4CF78A79" w14:textId="77777777" w:rsidTr="009826A8">
        <w:tc>
          <w:tcPr>
            <w:tcW w:w="0" w:type="auto"/>
            <w:hideMark/>
          </w:tcPr>
          <w:p w14:paraId="236B1F2A"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Sopralluogo e ispezione visiva</w:t>
            </w:r>
          </w:p>
        </w:tc>
        <w:tc>
          <w:tcPr>
            <w:tcW w:w="0" w:type="auto"/>
            <w:hideMark/>
          </w:tcPr>
          <w:p w14:paraId="5F975DD4"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Individuazione di materiali sospetti, accessibilità, stato di conservazione, possibilità di disturbo</w:t>
            </w:r>
          </w:p>
        </w:tc>
      </w:tr>
      <w:tr w:rsidR="009826A8" w:rsidRPr="009826A8" w14:paraId="715F188E" w14:textId="77777777" w:rsidTr="009826A8">
        <w:tc>
          <w:tcPr>
            <w:tcW w:w="0" w:type="auto"/>
            <w:hideMark/>
          </w:tcPr>
          <w:p w14:paraId="4F88127B"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Campionamento e analisi</w:t>
            </w:r>
          </w:p>
        </w:tc>
        <w:tc>
          <w:tcPr>
            <w:tcW w:w="0" w:type="auto"/>
            <w:hideMark/>
          </w:tcPr>
          <w:p w14:paraId="3239E050"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Prelievo di campioni massivi e analisi presso laboratorio qualificato</w:t>
            </w:r>
          </w:p>
        </w:tc>
      </w:tr>
      <w:tr w:rsidR="009826A8" w:rsidRPr="009826A8" w14:paraId="4C9AC3DD" w14:textId="77777777" w:rsidTr="009826A8">
        <w:tc>
          <w:tcPr>
            <w:tcW w:w="0" w:type="auto"/>
            <w:hideMark/>
          </w:tcPr>
          <w:p w14:paraId="683DE1F7"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Relazione di censimento</w:t>
            </w:r>
          </w:p>
        </w:tc>
        <w:tc>
          <w:tcPr>
            <w:tcW w:w="0" w:type="auto"/>
            <w:hideMark/>
          </w:tcPr>
          <w:p w14:paraId="2912AD9A"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Descrizione delle attività, risultati analitici, mappatura, fotografie, conclusioni e raccomandazioni</w:t>
            </w:r>
          </w:p>
        </w:tc>
      </w:tr>
    </w:tbl>
    <w:p w14:paraId="6858C3BC" w14:textId="77777777" w:rsidR="009826A8" w:rsidRPr="009826A8" w:rsidRDefault="009826A8" w:rsidP="009826A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 xml:space="preserve">La relazione di censimento deve essere considerata un documento tecnico delicato: errori od omissioni possono comportare esposizioni incontrollate degli occupanti, rischi in fase di manutenzione o ristrutturazione, errata valutazione dei rischi per i lavoratori e possibili contenziosi. </w:t>
      </w:r>
    </w:p>
    <w:p w14:paraId="3059E3F5" w14:textId="77777777" w:rsidR="009826A8" w:rsidRPr="009826A8" w:rsidRDefault="009826A8" w:rsidP="009826A8">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9826A8">
        <w:rPr>
          <w:rFonts w:ascii="Times New Roman" w:eastAsia="Times New Roman" w:hAnsi="Times New Roman" w:cs="Times New Roman"/>
          <w:b/>
          <w:bCs/>
          <w:kern w:val="0"/>
          <w:sz w:val="36"/>
          <w:szCs w:val="36"/>
          <w:lang w:eastAsia="it-IT"/>
          <w14:ligatures w14:val="none"/>
        </w:rPr>
        <w:t>Valutazione dello stato di conservazione</w:t>
      </w:r>
    </w:p>
    <w:p w14:paraId="038AED9F" w14:textId="77777777" w:rsidR="009826A8" w:rsidRPr="009826A8" w:rsidRDefault="009826A8" w:rsidP="009826A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Dopo aver accertato la presenza di MCA, occorre valutarne lo stato di conservazione. La valutazione considera sia i fattori di danno sia i fattori di esposizione.</w:t>
      </w:r>
    </w:p>
    <w:tbl>
      <w:tblPr>
        <w:tblStyle w:val="Grigliatabella"/>
        <w:tblW w:w="0" w:type="auto"/>
        <w:tblLook w:val="04A0" w:firstRow="1" w:lastRow="0" w:firstColumn="1" w:lastColumn="0" w:noHBand="0" w:noVBand="1"/>
      </w:tblPr>
      <w:tblGrid>
        <w:gridCol w:w="3456"/>
        <w:gridCol w:w="6291"/>
      </w:tblGrid>
      <w:tr w:rsidR="009826A8" w:rsidRPr="009826A8" w14:paraId="1AB77BDA" w14:textId="77777777" w:rsidTr="009826A8">
        <w:tc>
          <w:tcPr>
            <w:tcW w:w="0" w:type="auto"/>
            <w:hideMark/>
          </w:tcPr>
          <w:p w14:paraId="03CAA869" w14:textId="77777777" w:rsidR="009826A8" w:rsidRPr="009826A8" w:rsidRDefault="009826A8" w:rsidP="009826A8">
            <w:pPr>
              <w:jc w:val="center"/>
              <w:rPr>
                <w:rFonts w:ascii="Times New Roman" w:eastAsia="Times New Roman" w:hAnsi="Times New Roman" w:cs="Times New Roman"/>
                <w:b/>
                <w:bCs/>
                <w:kern w:val="0"/>
                <w:sz w:val="24"/>
                <w:szCs w:val="24"/>
                <w:lang w:eastAsia="it-IT"/>
                <w14:ligatures w14:val="none"/>
              </w:rPr>
            </w:pPr>
            <w:r w:rsidRPr="009826A8">
              <w:rPr>
                <w:rFonts w:ascii="Times New Roman" w:eastAsia="Times New Roman" w:hAnsi="Times New Roman" w:cs="Times New Roman"/>
                <w:b/>
                <w:bCs/>
                <w:kern w:val="0"/>
                <w:sz w:val="24"/>
                <w:szCs w:val="24"/>
                <w:lang w:eastAsia="it-IT"/>
                <w14:ligatures w14:val="none"/>
              </w:rPr>
              <w:t>Fattori di danno</w:t>
            </w:r>
          </w:p>
        </w:tc>
        <w:tc>
          <w:tcPr>
            <w:tcW w:w="6291" w:type="dxa"/>
            <w:hideMark/>
          </w:tcPr>
          <w:p w14:paraId="10AB67BD" w14:textId="77777777" w:rsidR="009826A8" w:rsidRPr="009826A8" w:rsidRDefault="009826A8" w:rsidP="009826A8">
            <w:pPr>
              <w:jc w:val="center"/>
              <w:rPr>
                <w:rFonts w:ascii="Times New Roman" w:eastAsia="Times New Roman" w:hAnsi="Times New Roman" w:cs="Times New Roman"/>
                <w:b/>
                <w:bCs/>
                <w:kern w:val="0"/>
                <w:sz w:val="24"/>
                <w:szCs w:val="24"/>
                <w:lang w:eastAsia="it-IT"/>
                <w14:ligatures w14:val="none"/>
              </w:rPr>
            </w:pPr>
            <w:r w:rsidRPr="009826A8">
              <w:rPr>
                <w:rFonts w:ascii="Times New Roman" w:eastAsia="Times New Roman" w:hAnsi="Times New Roman" w:cs="Times New Roman"/>
                <w:b/>
                <w:bCs/>
                <w:kern w:val="0"/>
                <w:sz w:val="24"/>
                <w:szCs w:val="24"/>
                <w:lang w:eastAsia="it-IT"/>
                <w14:ligatures w14:val="none"/>
              </w:rPr>
              <w:t>Fattori di esposizione</w:t>
            </w:r>
          </w:p>
        </w:tc>
      </w:tr>
      <w:tr w:rsidR="009826A8" w:rsidRPr="009826A8" w14:paraId="679F9647" w14:textId="77777777" w:rsidTr="009826A8">
        <w:tc>
          <w:tcPr>
            <w:tcW w:w="0" w:type="auto"/>
            <w:hideMark/>
          </w:tcPr>
          <w:p w14:paraId="0C172AE6"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Rotture, fessurazioni, sfaldamenti</w:t>
            </w:r>
          </w:p>
        </w:tc>
        <w:tc>
          <w:tcPr>
            <w:tcW w:w="6291" w:type="dxa"/>
            <w:hideMark/>
          </w:tcPr>
          <w:p w14:paraId="6FD55EB7"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Presenza di persone</w:t>
            </w:r>
          </w:p>
        </w:tc>
      </w:tr>
      <w:tr w:rsidR="009826A8" w:rsidRPr="009826A8" w14:paraId="2DB644CB" w14:textId="77777777" w:rsidTr="009826A8">
        <w:tc>
          <w:tcPr>
            <w:tcW w:w="0" w:type="auto"/>
            <w:hideMark/>
          </w:tcPr>
          <w:p w14:paraId="70550F1C"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Danni da acqua</w:t>
            </w:r>
          </w:p>
        </w:tc>
        <w:tc>
          <w:tcPr>
            <w:tcW w:w="6291" w:type="dxa"/>
            <w:hideMark/>
          </w:tcPr>
          <w:p w14:paraId="0A31A5E7"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Durata e frequenza dell’esposizione</w:t>
            </w:r>
          </w:p>
        </w:tc>
      </w:tr>
      <w:tr w:rsidR="009826A8" w:rsidRPr="009826A8" w14:paraId="7D64760F" w14:textId="77777777" w:rsidTr="009826A8">
        <w:tc>
          <w:tcPr>
            <w:tcW w:w="0" w:type="auto"/>
            <w:hideMark/>
          </w:tcPr>
          <w:p w14:paraId="4479EA3A"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Degrado superficiale</w:t>
            </w:r>
          </w:p>
        </w:tc>
        <w:tc>
          <w:tcPr>
            <w:tcW w:w="6291" w:type="dxa"/>
            <w:hideMark/>
          </w:tcPr>
          <w:p w14:paraId="141B7BAE"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Ventilazione e movimenti d’aria</w:t>
            </w:r>
          </w:p>
        </w:tc>
      </w:tr>
      <w:tr w:rsidR="009826A8" w:rsidRPr="009826A8" w14:paraId="15A578ED" w14:textId="77777777" w:rsidTr="009826A8">
        <w:tc>
          <w:tcPr>
            <w:tcW w:w="0" w:type="auto"/>
            <w:hideMark/>
          </w:tcPr>
          <w:p w14:paraId="121211F7"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Vibrazioni o urti</w:t>
            </w:r>
          </w:p>
        </w:tc>
        <w:tc>
          <w:tcPr>
            <w:tcW w:w="6291" w:type="dxa"/>
            <w:hideMark/>
          </w:tcPr>
          <w:p w14:paraId="5A47F597"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Attività svolte nell’ambiente</w:t>
            </w:r>
          </w:p>
        </w:tc>
      </w:tr>
      <w:tr w:rsidR="009826A8" w:rsidRPr="009826A8" w14:paraId="5CBA1E93" w14:textId="77777777" w:rsidTr="009826A8">
        <w:tc>
          <w:tcPr>
            <w:tcW w:w="0" w:type="auto"/>
            <w:hideMark/>
          </w:tcPr>
          <w:p w14:paraId="081CD220"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Manutenzioni frequenti</w:t>
            </w:r>
          </w:p>
        </w:tc>
        <w:tc>
          <w:tcPr>
            <w:tcW w:w="6291" w:type="dxa"/>
            <w:hideMark/>
          </w:tcPr>
          <w:p w14:paraId="54B5C7AD"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Accessibilità del materiale</w:t>
            </w:r>
          </w:p>
        </w:tc>
      </w:tr>
      <w:tr w:rsidR="009826A8" w:rsidRPr="009826A8" w14:paraId="0EF6F6FE" w14:textId="77777777" w:rsidTr="009826A8">
        <w:tc>
          <w:tcPr>
            <w:tcW w:w="0" w:type="auto"/>
            <w:hideMark/>
          </w:tcPr>
          <w:p w14:paraId="6B33C85D"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Perdita di compattezza</w:t>
            </w:r>
          </w:p>
        </w:tc>
        <w:tc>
          <w:tcPr>
            <w:tcW w:w="6291" w:type="dxa"/>
            <w:hideMark/>
          </w:tcPr>
          <w:p w14:paraId="3C9A8542"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Presenza o assenza di barriere</w:t>
            </w:r>
          </w:p>
        </w:tc>
      </w:tr>
      <w:tr w:rsidR="009826A8" w:rsidRPr="009826A8" w14:paraId="0E0B2D35" w14:textId="77777777" w:rsidTr="009826A8">
        <w:tc>
          <w:tcPr>
            <w:tcW w:w="0" w:type="auto"/>
            <w:hideMark/>
          </w:tcPr>
          <w:p w14:paraId="336E22B9"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Affioramento di fibre</w:t>
            </w:r>
          </w:p>
        </w:tc>
        <w:tc>
          <w:tcPr>
            <w:tcW w:w="6291" w:type="dxa"/>
            <w:hideMark/>
          </w:tcPr>
          <w:p w14:paraId="2336F2BE"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Caratteristiche di pavimenti, pareti e superfici</w:t>
            </w:r>
          </w:p>
        </w:tc>
      </w:tr>
    </w:tbl>
    <w:p w14:paraId="5DD1F6FC" w14:textId="77777777" w:rsidR="009826A8" w:rsidRPr="009826A8" w:rsidRDefault="009826A8" w:rsidP="009826A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 xml:space="preserve">Le cause di degrado possono essere naturali, antropiche, chimiche o biologiche: piogge acide, gelo/disgelo, vento, grandine, infiltrazioni, vibrazioni, urti, manutenzioni improprie, idropulitrici, perforazioni, agenti corrosivi, muffe, muschi e licheni. Anche un materiale originariamente compatto può degradarsi e assumere un comportamento più friabile, con maggiore possibilità di rilascio di fibre. </w:t>
      </w:r>
    </w:p>
    <w:p w14:paraId="5AFD0C3E" w14:textId="77777777" w:rsidR="009826A8" w:rsidRPr="009826A8" w:rsidRDefault="009826A8" w:rsidP="009826A8">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9826A8">
        <w:rPr>
          <w:rFonts w:ascii="Times New Roman" w:eastAsia="Times New Roman" w:hAnsi="Times New Roman" w:cs="Times New Roman"/>
          <w:b/>
          <w:bCs/>
          <w:kern w:val="0"/>
          <w:sz w:val="36"/>
          <w:szCs w:val="36"/>
          <w:lang w:eastAsia="it-IT"/>
          <w14:ligatures w14:val="none"/>
        </w:rPr>
        <w:t>Programma di Controllo e Manutenzione</w:t>
      </w:r>
    </w:p>
    <w:p w14:paraId="38CB998A" w14:textId="77777777" w:rsidR="009826A8" w:rsidRPr="009826A8" w:rsidRDefault="009826A8" w:rsidP="009826A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Quando viene rilevata la presenza di MCA, il D.M. 6 settembre 1994 richiede l’attivazione di un Programma di Controllo e Manutenzione. Il PCM serve a mantenere sotto controllo i materiali, prevenire il rilascio di fibre, gestire le manutenzioni e informare correttamente occupanti e imprese esterne.</w:t>
      </w:r>
    </w:p>
    <w:p w14:paraId="75CE1600" w14:textId="77777777" w:rsidR="009826A8" w:rsidRPr="009826A8" w:rsidRDefault="009826A8" w:rsidP="009826A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Un PCM efficace dovrebbe contenere almeno:</w:t>
      </w:r>
    </w:p>
    <w:tbl>
      <w:tblPr>
        <w:tblStyle w:val="Grigliatabella"/>
        <w:tblW w:w="0" w:type="auto"/>
        <w:tblLook w:val="04A0" w:firstRow="1" w:lastRow="0" w:firstColumn="1" w:lastColumn="0" w:noHBand="0" w:noVBand="1"/>
      </w:tblPr>
      <w:tblGrid>
        <w:gridCol w:w="2575"/>
        <w:gridCol w:w="7279"/>
      </w:tblGrid>
      <w:tr w:rsidR="009826A8" w:rsidRPr="009826A8" w14:paraId="045B118E" w14:textId="77777777" w:rsidTr="009826A8">
        <w:tc>
          <w:tcPr>
            <w:tcW w:w="0" w:type="auto"/>
            <w:hideMark/>
          </w:tcPr>
          <w:p w14:paraId="7E2EFA27" w14:textId="77777777" w:rsidR="009826A8" w:rsidRPr="009826A8" w:rsidRDefault="009826A8" w:rsidP="009826A8">
            <w:pPr>
              <w:jc w:val="center"/>
              <w:rPr>
                <w:rFonts w:ascii="Times New Roman" w:eastAsia="Times New Roman" w:hAnsi="Times New Roman" w:cs="Times New Roman"/>
                <w:b/>
                <w:bCs/>
                <w:kern w:val="0"/>
                <w:sz w:val="24"/>
                <w:szCs w:val="24"/>
                <w:lang w:eastAsia="it-IT"/>
                <w14:ligatures w14:val="none"/>
              </w:rPr>
            </w:pPr>
            <w:r w:rsidRPr="009826A8">
              <w:rPr>
                <w:rFonts w:ascii="Times New Roman" w:eastAsia="Times New Roman" w:hAnsi="Times New Roman" w:cs="Times New Roman"/>
                <w:b/>
                <w:bCs/>
                <w:kern w:val="0"/>
                <w:sz w:val="24"/>
                <w:szCs w:val="24"/>
                <w:lang w:eastAsia="it-IT"/>
                <w14:ligatures w14:val="none"/>
              </w:rPr>
              <w:t>Contenuto</w:t>
            </w:r>
          </w:p>
        </w:tc>
        <w:tc>
          <w:tcPr>
            <w:tcW w:w="0" w:type="auto"/>
            <w:hideMark/>
          </w:tcPr>
          <w:p w14:paraId="6B3FA99E" w14:textId="77777777" w:rsidR="009826A8" w:rsidRPr="009826A8" w:rsidRDefault="009826A8" w:rsidP="009826A8">
            <w:pPr>
              <w:jc w:val="center"/>
              <w:rPr>
                <w:rFonts w:ascii="Times New Roman" w:eastAsia="Times New Roman" w:hAnsi="Times New Roman" w:cs="Times New Roman"/>
                <w:b/>
                <w:bCs/>
                <w:kern w:val="0"/>
                <w:sz w:val="24"/>
                <w:szCs w:val="24"/>
                <w:lang w:eastAsia="it-IT"/>
                <w14:ligatures w14:val="none"/>
              </w:rPr>
            </w:pPr>
            <w:r w:rsidRPr="009826A8">
              <w:rPr>
                <w:rFonts w:ascii="Times New Roman" w:eastAsia="Times New Roman" w:hAnsi="Times New Roman" w:cs="Times New Roman"/>
                <w:b/>
                <w:bCs/>
                <w:kern w:val="0"/>
                <w:sz w:val="24"/>
                <w:szCs w:val="24"/>
                <w:lang w:eastAsia="it-IT"/>
                <w14:ligatures w14:val="none"/>
              </w:rPr>
              <w:t>Descrizione</w:t>
            </w:r>
          </w:p>
        </w:tc>
      </w:tr>
      <w:tr w:rsidR="009826A8" w:rsidRPr="009826A8" w14:paraId="5F84EFA9" w14:textId="77777777" w:rsidTr="009826A8">
        <w:tc>
          <w:tcPr>
            <w:tcW w:w="0" w:type="auto"/>
            <w:hideMark/>
          </w:tcPr>
          <w:p w14:paraId="34BD3181"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Dati dell’immobile</w:t>
            </w:r>
          </w:p>
        </w:tc>
        <w:tc>
          <w:tcPr>
            <w:tcW w:w="0" w:type="auto"/>
            <w:hideMark/>
          </w:tcPr>
          <w:p w14:paraId="5920EF30"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Ubicazione, proprietà, destinazione d’uso, caratteristiche costruttive</w:t>
            </w:r>
          </w:p>
        </w:tc>
      </w:tr>
      <w:tr w:rsidR="009826A8" w:rsidRPr="009826A8" w14:paraId="071ABA08" w14:textId="77777777" w:rsidTr="009826A8">
        <w:tc>
          <w:tcPr>
            <w:tcW w:w="0" w:type="auto"/>
            <w:hideMark/>
          </w:tcPr>
          <w:p w14:paraId="09EAFD77"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Nomina del RRA</w:t>
            </w:r>
          </w:p>
        </w:tc>
        <w:tc>
          <w:tcPr>
            <w:tcW w:w="0" w:type="auto"/>
            <w:hideMark/>
          </w:tcPr>
          <w:p w14:paraId="170A7442"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Incarico, recapiti, compiti e responsabilità</w:t>
            </w:r>
          </w:p>
        </w:tc>
      </w:tr>
      <w:tr w:rsidR="009826A8" w:rsidRPr="009826A8" w14:paraId="0E179104" w14:textId="77777777" w:rsidTr="009826A8">
        <w:tc>
          <w:tcPr>
            <w:tcW w:w="0" w:type="auto"/>
            <w:hideMark/>
          </w:tcPr>
          <w:p w14:paraId="275F8546"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Risultati del censimento</w:t>
            </w:r>
          </w:p>
        </w:tc>
        <w:tc>
          <w:tcPr>
            <w:tcW w:w="0" w:type="auto"/>
            <w:hideMark/>
          </w:tcPr>
          <w:p w14:paraId="16888308"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Tipologia, ubicazione, estensione e stato dei MCA</w:t>
            </w:r>
          </w:p>
        </w:tc>
      </w:tr>
      <w:tr w:rsidR="009826A8" w:rsidRPr="009826A8" w14:paraId="467753A4" w14:textId="77777777" w:rsidTr="009826A8">
        <w:tc>
          <w:tcPr>
            <w:tcW w:w="0" w:type="auto"/>
            <w:hideMark/>
          </w:tcPr>
          <w:p w14:paraId="39230864"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Rapporti di prova</w:t>
            </w:r>
          </w:p>
        </w:tc>
        <w:tc>
          <w:tcPr>
            <w:tcW w:w="0" w:type="auto"/>
            <w:hideMark/>
          </w:tcPr>
          <w:p w14:paraId="1005B82D"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Analisi di laboratorio sui campioni</w:t>
            </w:r>
          </w:p>
        </w:tc>
      </w:tr>
      <w:tr w:rsidR="009826A8" w:rsidRPr="009826A8" w14:paraId="55248F48" w14:textId="77777777" w:rsidTr="009826A8">
        <w:tc>
          <w:tcPr>
            <w:tcW w:w="0" w:type="auto"/>
            <w:hideMark/>
          </w:tcPr>
          <w:p w14:paraId="6AD08461"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Planimetrie e fotografie</w:t>
            </w:r>
          </w:p>
        </w:tc>
        <w:tc>
          <w:tcPr>
            <w:tcW w:w="0" w:type="auto"/>
            <w:hideMark/>
          </w:tcPr>
          <w:p w14:paraId="5C737A38"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Mappatura dei materiali e dei punti di prelievo</w:t>
            </w:r>
          </w:p>
        </w:tc>
      </w:tr>
      <w:tr w:rsidR="009826A8" w:rsidRPr="009826A8" w14:paraId="73B20228" w14:textId="77777777" w:rsidTr="009826A8">
        <w:tc>
          <w:tcPr>
            <w:tcW w:w="0" w:type="auto"/>
            <w:hideMark/>
          </w:tcPr>
          <w:p w14:paraId="7699AE4C"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Valutazione del degrado</w:t>
            </w:r>
          </w:p>
        </w:tc>
        <w:tc>
          <w:tcPr>
            <w:tcW w:w="0" w:type="auto"/>
            <w:hideMark/>
          </w:tcPr>
          <w:p w14:paraId="00C07E18"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Schede, algoritmi, indici di conservazione</w:t>
            </w:r>
          </w:p>
        </w:tc>
      </w:tr>
      <w:tr w:rsidR="009826A8" w:rsidRPr="009826A8" w14:paraId="4E044745" w14:textId="77777777" w:rsidTr="009826A8">
        <w:tc>
          <w:tcPr>
            <w:tcW w:w="0" w:type="auto"/>
            <w:hideMark/>
          </w:tcPr>
          <w:p w14:paraId="0F09B584"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Misure gestionali</w:t>
            </w:r>
          </w:p>
        </w:tc>
        <w:tc>
          <w:tcPr>
            <w:tcW w:w="0" w:type="auto"/>
            <w:hideMark/>
          </w:tcPr>
          <w:p w14:paraId="02854713"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Monitoraggio, interdizione, riparazione, bonifica</w:t>
            </w:r>
          </w:p>
        </w:tc>
      </w:tr>
      <w:tr w:rsidR="009826A8" w:rsidRPr="009826A8" w14:paraId="0FD4D533" w14:textId="77777777" w:rsidTr="009826A8">
        <w:tc>
          <w:tcPr>
            <w:tcW w:w="0" w:type="auto"/>
            <w:hideMark/>
          </w:tcPr>
          <w:p w14:paraId="152EF1B8"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Segnaletica ed etichettatura</w:t>
            </w:r>
          </w:p>
        </w:tc>
        <w:tc>
          <w:tcPr>
            <w:tcW w:w="0" w:type="auto"/>
            <w:hideMark/>
          </w:tcPr>
          <w:p w14:paraId="44FBED8B"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Avvisi per evitare disturbi accidentali</w:t>
            </w:r>
          </w:p>
        </w:tc>
      </w:tr>
      <w:tr w:rsidR="009826A8" w:rsidRPr="009826A8" w14:paraId="171845F2" w14:textId="77777777" w:rsidTr="009826A8">
        <w:tc>
          <w:tcPr>
            <w:tcW w:w="0" w:type="auto"/>
            <w:hideMark/>
          </w:tcPr>
          <w:p w14:paraId="7303C7FC"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Procedure di manutenzione</w:t>
            </w:r>
          </w:p>
        </w:tc>
        <w:tc>
          <w:tcPr>
            <w:tcW w:w="0" w:type="auto"/>
            <w:hideMark/>
          </w:tcPr>
          <w:p w14:paraId="731C132B"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Attività senza contatto, con possibile contatto accidentale o con disturbo intenzionale limitato</w:t>
            </w:r>
          </w:p>
        </w:tc>
      </w:tr>
      <w:tr w:rsidR="009826A8" w:rsidRPr="009826A8" w14:paraId="181C4684" w14:textId="77777777" w:rsidTr="009826A8">
        <w:tc>
          <w:tcPr>
            <w:tcW w:w="0" w:type="auto"/>
            <w:hideMark/>
          </w:tcPr>
          <w:p w14:paraId="194008FE"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Procedure di emergenza</w:t>
            </w:r>
          </w:p>
        </w:tc>
        <w:tc>
          <w:tcPr>
            <w:tcW w:w="0" w:type="auto"/>
            <w:hideMark/>
          </w:tcPr>
          <w:p w14:paraId="48A5B4F7"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Rotture accidentali, vandalismi, danneggiamenti</w:t>
            </w:r>
          </w:p>
        </w:tc>
      </w:tr>
      <w:tr w:rsidR="009826A8" w:rsidRPr="009826A8" w14:paraId="1EF740D6" w14:textId="77777777" w:rsidTr="009826A8">
        <w:tc>
          <w:tcPr>
            <w:tcW w:w="0" w:type="auto"/>
            <w:hideMark/>
          </w:tcPr>
          <w:p w14:paraId="0FCA072E"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Informazione agli occupanti</w:t>
            </w:r>
          </w:p>
        </w:tc>
        <w:tc>
          <w:tcPr>
            <w:tcW w:w="0" w:type="auto"/>
            <w:hideMark/>
          </w:tcPr>
          <w:p w14:paraId="54821F4A"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Comunicazioni scritte, istruzioni operative, comportamenti vietati</w:t>
            </w:r>
          </w:p>
        </w:tc>
      </w:tr>
      <w:tr w:rsidR="009826A8" w:rsidRPr="009826A8" w14:paraId="200F99B3" w14:textId="77777777" w:rsidTr="009826A8">
        <w:tc>
          <w:tcPr>
            <w:tcW w:w="0" w:type="auto"/>
            <w:hideMark/>
          </w:tcPr>
          <w:p w14:paraId="0E7F1B40"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Registro interventi</w:t>
            </w:r>
          </w:p>
        </w:tc>
        <w:tc>
          <w:tcPr>
            <w:tcW w:w="0" w:type="auto"/>
            <w:hideMark/>
          </w:tcPr>
          <w:p w14:paraId="3D4520FF"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Tracciabilità delle manutenzioni e autorizzazioni</w:t>
            </w:r>
          </w:p>
        </w:tc>
      </w:tr>
    </w:tbl>
    <w:p w14:paraId="1188314F" w14:textId="77777777" w:rsidR="009826A8" w:rsidRPr="009826A8" w:rsidRDefault="009826A8" w:rsidP="009826A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Il PCM deve essere aggiornato ogni volta che cambiano le condizioni dei materiali, viene effettuata una bonifica, viene individuato un nuovo MCA o si modificano gli ambienti e le attività presenti nell’edificio.</w:t>
      </w:r>
    </w:p>
    <w:p w14:paraId="30D86FE7" w14:textId="77777777" w:rsidR="009826A8" w:rsidRPr="009826A8" w:rsidRDefault="009826A8" w:rsidP="009826A8">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9826A8">
        <w:rPr>
          <w:rFonts w:ascii="Times New Roman" w:eastAsia="Times New Roman" w:hAnsi="Times New Roman" w:cs="Times New Roman"/>
          <w:b/>
          <w:bCs/>
          <w:kern w:val="0"/>
          <w:sz w:val="36"/>
          <w:szCs w:val="36"/>
          <w:lang w:eastAsia="it-IT"/>
          <w14:ligatures w14:val="none"/>
        </w:rPr>
        <w:t>Manutenzioni in presenza di amianto</w:t>
      </w:r>
    </w:p>
    <w:p w14:paraId="7A49C057" w14:textId="77777777" w:rsidR="009826A8" w:rsidRPr="009826A8" w:rsidRDefault="009826A8" w:rsidP="009826A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Le manutenzioni rappresentano una delle situazioni più critiche. Molti rilasci di fibre avvengono non per la presenza passiva del materiale, ma per interventi impropri: forature, tagli, abrasioni, smontaggi, raschiature, pulizie con mezzi aggressivi, lavori su impianti o attività in prossimità di materiali non segnalati.</w:t>
      </w:r>
    </w:p>
    <w:p w14:paraId="7A64B81F" w14:textId="77777777" w:rsidR="009826A8" w:rsidRPr="009826A8" w:rsidRDefault="009826A8" w:rsidP="009826A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Le attività possono essere classificate in tre categorie:</w:t>
      </w:r>
    </w:p>
    <w:tbl>
      <w:tblPr>
        <w:tblStyle w:val="Grigliatabella"/>
        <w:tblW w:w="0" w:type="auto"/>
        <w:tblLook w:val="04A0" w:firstRow="1" w:lastRow="0" w:firstColumn="1" w:lastColumn="0" w:noHBand="0" w:noVBand="1"/>
      </w:tblPr>
      <w:tblGrid>
        <w:gridCol w:w="2659"/>
        <w:gridCol w:w="2994"/>
        <w:gridCol w:w="4201"/>
      </w:tblGrid>
      <w:tr w:rsidR="009826A8" w:rsidRPr="009826A8" w14:paraId="787B88B4" w14:textId="77777777" w:rsidTr="009826A8">
        <w:tc>
          <w:tcPr>
            <w:tcW w:w="0" w:type="auto"/>
            <w:hideMark/>
          </w:tcPr>
          <w:p w14:paraId="04F87A79" w14:textId="77777777" w:rsidR="009826A8" w:rsidRPr="009826A8" w:rsidRDefault="009826A8" w:rsidP="009826A8">
            <w:pPr>
              <w:jc w:val="center"/>
              <w:rPr>
                <w:rFonts w:ascii="Times New Roman" w:eastAsia="Times New Roman" w:hAnsi="Times New Roman" w:cs="Times New Roman"/>
                <w:b/>
                <w:bCs/>
                <w:kern w:val="0"/>
                <w:sz w:val="24"/>
                <w:szCs w:val="24"/>
                <w:lang w:eastAsia="it-IT"/>
                <w14:ligatures w14:val="none"/>
              </w:rPr>
            </w:pPr>
            <w:r w:rsidRPr="009826A8">
              <w:rPr>
                <w:rFonts w:ascii="Times New Roman" w:eastAsia="Times New Roman" w:hAnsi="Times New Roman" w:cs="Times New Roman"/>
                <w:b/>
                <w:bCs/>
                <w:kern w:val="0"/>
                <w:sz w:val="24"/>
                <w:szCs w:val="24"/>
                <w:lang w:eastAsia="it-IT"/>
                <w14:ligatures w14:val="none"/>
              </w:rPr>
              <w:t>Tipologia di attività</w:t>
            </w:r>
          </w:p>
        </w:tc>
        <w:tc>
          <w:tcPr>
            <w:tcW w:w="0" w:type="auto"/>
            <w:hideMark/>
          </w:tcPr>
          <w:p w14:paraId="4B7F1526" w14:textId="77777777" w:rsidR="009826A8" w:rsidRPr="009826A8" w:rsidRDefault="009826A8" w:rsidP="009826A8">
            <w:pPr>
              <w:jc w:val="center"/>
              <w:rPr>
                <w:rFonts w:ascii="Times New Roman" w:eastAsia="Times New Roman" w:hAnsi="Times New Roman" w:cs="Times New Roman"/>
                <w:b/>
                <w:bCs/>
                <w:kern w:val="0"/>
                <w:sz w:val="24"/>
                <w:szCs w:val="24"/>
                <w:lang w:eastAsia="it-IT"/>
                <w14:ligatures w14:val="none"/>
              </w:rPr>
            </w:pPr>
            <w:r w:rsidRPr="009826A8">
              <w:rPr>
                <w:rFonts w:ascii="Times New Roman" w:eastAsia="Times New Roman" w:hAnsi="Times New Roman" w:cs="Times New Roman"/>
                <w:b/>
                <w:bCs/>
                <w:kern w:val="0"/>
                <w:sz w:val="24"/>
                <w:szCs w:val="24"/>
                <w:lang w:eastAsia="it-IT"/>
                <w14:ligatures w14:val="none"/>
              </w:rPr>
              <w:t>Esempio</w:t>
            </w:r>
          </w:p>
        </w:tc>
        <w:tc>
          <w:tcPr>
            <w:tcW w:w="0" w:type="auto"/>
            <w:hideMark/>
          </w:tcPr>
          <w:p w14:paraId="655B3E8D" w14:textId="77777777" w:rsidR="009826A8" w:rsidRPr="009826A8" w:rsidRDefault="009826A8" w:rsidP="009826A8">
            <w:pPr>
              <w:jc w:val="center"/>
              <w:rPr>
                <w:rFonts w:ascii="Times New Roman" w:eastAsia="Times New Roman" w:hAnsi="Times New Roman" w:cs="Times New Roman"/>
                <w:b/>
                <w:bCs/>
                <w:kern w:val="0"/>
                <w:sz w:val="24"/>
                <w:szCs w:val="24"/>
                <w:lang w:eastAsia="it-IT"/>
                <w14:ligatures w14:val="none"/>
              </w:rPr>
            </w:pPr>
            <w:r w:rsidRPr="009826A8">
              <w:rPr>
                <w:rFonts w:ascii="Times New Roman" w:eastAsia="Times New Roman" w:hAnsi="Times New Roman" w:cs="Times New Roman"/>
                <w:b/>
                <w:bCs/>
                <w:kern w:val="0"/>
                <w:sz w:val="24"/>
                <w:szCs w:val="24"/>
                <w:lang w:eastAsia="it-IT"/>
                <w14:ligatures w14:val="none"/>
              </w:rPr>
              <w:t>Misure principali</w:t>
            </w:r>
          </w:p>
        </w:tc>
      </w:tr>
      <w:tr w:rsidR="009826A8" w:rsidRPr="009826A8" w14:paraId="7C2BEC65" w14:textId="77777777" w:rsidTr="009826A8">
        <w:tc>
          <w:tcPr>
            <w:tcW w:w="0" w:type="auto"/>
            <w:hideMark/>
          </w:tcPr>
          <w:p w14:paraId="3638474B"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Senza contatto diretto con MCA</w:t>
            </w:r>
          </w:p>
        </w:tc>
        <w:tc>
          <w:tcPr>
            <w:tcW w:w="0" w:type="auto"/>
            <w:hideMark/>
          </w:tcPr>
          <w:p w14:paraId="2813E349"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Lavori distanti dal materiale</w:t>
            </w:r>
          </w:p>
        </w:tc>
        <w:tc>
          <w:tcPr>
            <w:tcW w:w="0" w:type="auto"/>
            <w:hideMark/>
          </w:tcPr>
          <w:p w14:paraId="1E033599"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Informazione preventiva, divieto di disturbo, controllo area</w:t>
            </w:r>
          </w:p>
        </w:tc>
      </w:tr>
      <w:tr w:rsidR="009826A8" w:rsidRPr="009826A8" w14:paraId="6C2FFEDD" w14:textId="77777777" w:rsidTr="009826A8">
        <w:tc>
          <w:tcPr>
            <w:tcW w:w="0" w:type="auto"/>
            <w:hideMark/>
          </w:tcPr>
          <w:p w14:paraId="3C18D946"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Con possibile interessamento accidentale</w:t>
            </w:r>
          </w:p>
        </w:tc>
        <w:tc>
          <w:tcPr>
            <w:tcW w:w="0" w:type="auto"/>
            <w:hideMark/>
          </w:tcPr>
          <w:p w14:paraId="20543291"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Manutenzione in prossimità di tubazioni o pannelli</w:t>
            </w:r>
          </w:p>
        </w:tc>
        <w:tc>
          <w:tcPr>
            <w:tcW w:w="0" w:type="auto"/>
            <w:hideMark/>
          </w:tcPr>
          <w:p w14:paraId="592499E0"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Autorizzazione, delimitazione, protezione superfici, DPI disponibili</w:t>
            </w:r>
          </w:p>
        </w:tc>
      </w:tr>
      <w:tr w:rsidR="009826A8" w:rsidRPr="009826A8" w14:paraId="16AB77F6" w14:textId="77777777" w:rsidTr="009826A8">
        <w:tc>
          <w:tcPr>
            <w:tcW w:w="0" w:type="auto"/>
            <w:hideMark/>
          </w:tcPr>
          <w:p w14:paraId="085151FC"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Con disturbo intenzionale limitato</w:t>
            </w:r>
          </w:p>
        </w:tc>
        <w:tc>
          <w:tcPr>
            <w:tcW w:w="0" w:type="auto"/>
            <w:hideMark/>
          </w:tcPr>
          <w:p w14:paraId="32C2E107"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Piccoli interventi su zone circoscritte</w:t>
            </w:r>
          </w:p>
        </w:tc>
        <w:tc>
          <w:tcPr>
            <w:tcW w:w="0" w:type="auto"/>
            <w:hideMark/>
          </w:tcPr>
          <w:p w14:paraId="793F9105"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Procedure specifiche, metodi ad umido, DPI, aspirazione HEPA, gestione rifiuti</w:t>
            </w:r>
          </w:p>
        </w:tc>
      </w:tr>
    </w:tbl>
    <w:p w14:paraId="4B25D7AE" w14:textId="77777777" w:rsidR="009826A8" w:rsidRPr="009826A8" w:rsidRDefault="009826A8" w:rsidP="009826A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 xml:space="preserve">Nel caso di luoghi di lavoro, le attività affidate a imprese esterne devono essere coordinate anche ai sensi dell’art. 26 del </w:t>
      </w:r>
      <w:proofErr w:type="spellStart"/>
      <w:r w:rsidRPr="009826A8">
        <w:rPr>
          <w:rFonts w:ascii="Times New Roman" w:eastAsia="Times New Roman" w:hAnsi="Times New Roman" w:cs="Times New Roman"/>
          <w:kern w:val="0"/>
          <w:sz w:val="24"/>
          <w:szCs w:val="24"/>
          <w:lang w:eastAsia="it-IT"/>
          <w14:ligatures w14:val="none"/>
        </w:rPr>
        <w:t>D.Lgs.</w:t>
      </w:r>
      <w:proofErr w:type="spellEnd"/>
      <w:r w:rsidRPr="009826A8">
        <w:rPr>
          <w:rFonts w:ascii="Times New Roman" w:eastAsia="Times New Roman" w:hAnsi="Times New Roman" w:cs="Times New Roman"/>
          <w:kern w:val="0"/>
          <w:sz w:val="24"/>
          <w:szCs w:val="24"/>
          <w:lang w:eastAsia="it-IT"/>
          <w14:ligatures w14:val="none"/>
        </w:rPr>
        <w:t xml:space="preserve"> 81/2008, con valutazione delle interferenze. In presenza di rischi da amianto, il coordinamento non può essere ridotto a una comunicazione generica: servono procedure, autorizzazioni, registrazioni e controllo operativo.</w:t>
      </w:r>
    </w:p>
    <w:p w14:paraId="05D01AB6" w14:textId="77777777" w:rsidR="009826A8" w:rsidRPr="009826A8" w:rsidRDefault="009826A8" w:rsidP="009826A8">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9826A8">
        <w:rPr>
          <w:rFonts w:ascii="Times New Roman" w:eastAsia="Times New Roman" w:hAnsi="Times New Roman" w:cs="Times New Roman"/>
          <w:b/>
          <w:bCs/>
          <w:kern w:val="0"/>
          <w:sz w:val="36"/>
          <w:szCs w:val="36"/>
          <w:lang w:eastAsia="it-IT"/>
          <w14:ligatures w14:val="none"/>
        </w:rPr>
        <w:t>Informazione agli occupanti</w:t>
      </w:r>
    </w:p>
    <w:p w14:paraId="1B9D6C32" w14:textId="77777777" w:rsidR="009826A8" w:rsidRPr="009826A8" w:rsidRDefault="009826A8" w:rsidP="009826A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Il proprietario o responsabile dell’attività deve fornire agli occupanti una corretta informazione sulla presenza di amianto, sui rischi potenziali e sui comportamenti da adottare. L’informazione deve essere chiara, proporzionata e basata sui dati rilevati, evitando sia allarmismi ingiustificati sia sottovalutazioni.</w:t>
      </w:r>
    </w:p>
    <w:p w14:paraId="014C76DC" w14:textId="77777777" w:rsidR="009826A8" w:rsidRPr="009826A8" w:rsidRDefault="009826A8" w:rsidP="009826A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L’informativa dovrebbe indicare:</w:t>
      </w:r>
    </w:p>
    <w:tbl>
      <w:tblPr>
        <w:tblStyle w:val="Grigliatabella"/>
        <w:tblW w:w="0" w:type="auto"/>
        <w:tblLook w:val="04A0" w:firstRow="1" w:lastRow="0" w:firstColumn="1" w:lastColumn="0" w:noHBand="0" w:noVBand="1"/>
      </w:tblPr>
      <w:tblGrid>
        <w:gridCol w:w="2765"/>
        <w:gridCol w:w="7089"/>
      </w:tblGrid>
      <w:tr w:rsidR="009826A8" w:rsidRPr="009826A8" w14:paraId="362A1449" w14:textId="77777777" w:rsidTr="009826A8">
        <w:tc>
          <w:tcPr>
            <w:tcW w:w="0" w:type="auto"/>
            <w:hideMark/>
          </w:tcPr>
          <w:p w14:paraId="6D788E57" w14:textId="77777777" w:rsidR="009826A8" w:rsidRPr="009826A8" w:rsidRDefault="009826A8" w:rsidP="009826A8">
            <w:pPr>
              <w:jc w:val="center"/>
              <w:rPr>
                <w:rFonts w:ascii="Times New Roman" w:eastAsia="Times New Roman" w:hAnsi="Times New Roman" w:cs="Times New Roman"/>
                <w:b/>
                <w:bCs/>
                <w:kern w:val="0"/>
                <w:sz w:val="24"/>
                <w:szCs w:val="24"/>
                <w:lang w:eastAsia="it-IT"/>
                <w14:ligatures w14:val="none"/>
              </w:rPr>
            </w:pPr>
            <w:r w:rsidRPr="009826A8">
              <w:rPr>
                <w:rFonts w:ascii="Times New Roman" w:eastAsia="Times New Roman" w:hAnsi="Times New Roman" w:cs="Times New Roman"/>
                <w:b/>
                <w:bCs/>
                <w:kern w:val="0"/>
                <w:sz w:val="24"/>
                <w:szCs w:val="24"/>
                <w:lang w:eastAsia="it-IT"/>
                <w14:ligatures w14:val="none"/>
              </w:rPr>
              <w:t>Sezione</w:t>
            </w:r>
          </w:p>
        </w:tc>
        <w:tc>
          <w:tcPr>
            <w:tcW w:w="0" w:type="auto"/>
            <w:hideMark/>
          </w:tcPr>
          <w:p w14:paraId="44F99731" w14:textId="77777777" w:rsidR="009826A8" w:rsidRPr="009826A8" w:rsidRDefault="009826A8" w:rsidP="009826A8">
            <w:pPr>
              <w:jc w:val="center"/>
              <w:rPr>
                <w:rFonts w:ascii="Times New Roman" w:eastAsia="Times New Roman" w:hAnsi="Times New Roman" w:cs="Times New Roman"/>
                <w:b/>
                <w:bCs/>
                <w:kern w:val="0"/>
                <w:sz w:val="24"/>
                <w:szCs w:val="24"/>
                <w:lang w:eastAsia="it-IT"/>
                <w14:ligatures w14:val="none"/>
              </w:rPr>
            </w:pPr>
            <w:r w:rsidRPr="009826A8">
              <w:rPr>
                <w:rFonts w:ascii="Times New Roman" w:eastAsia="Times New Roman" w:hAnsi="Times New Roman" w:cs="Times New Roman"/>
                <w:b/>
                <w:bCs/>
                <w:kern w:val="0"/>
                <w:sz w:val="24"/>
                <w:szCs w:val="24"/>
                <w:lang w:eastAsia="it-IT"/>
                <w14:ligatures w14:val="none"/>
              </w:rPr>
              <w:t>Contenuti consigliati</w:t>
            </w:r>
          </w:p>
        </w:tc>
      </w:tr>
      <w:tr w:rsidR="009826A8" w:rsidRPr="009826A8" w14:paraId="2A738F7D" w14:textId="77777777" w:rsidTr="009826A8">
        <w:tc>
          <w:tcPr>
            <w:tcW w:w="0" w:type="auto"/>
            <w:hideMark/>
          </w:tcPr>
          <w:p w14:paraId="0758F410"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Descrizione generale</w:t>
            </w:r>
          </w:p>
        </w:tc>
        <w:tc>
          <w:tcPr>
            <w:tcW w:w="0" w:type="auto"/>
            <w:hideMark/>
          </w:tcPr>
          <w:p w14:paraId="7A97BE7C"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Che cos’è l’amianto e perché può essere pericoloso</w:t>
            </w:r>
          </w:p>
        </w:tc>
      </w:tr>
      <w:tr w:rsidR="009826A8" w:rsidRPr="009826A8" w14:paraId="4838E7CC" w14:textId="77777777" w:rsidTr="009826A8">
        <w:tc>
          <w:tcPr>
            <w:tcW w:w="0" w:type="auto"/>
            <w:hideMark/>
          </w:tcPr>
          <w:p w14:paraId="2E546C61"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Ubicazione dei MCA</w:t>
            </w:r>
          </w:p>
        </w:tc>
        <w:tc>
          <w:tcPr>
            <w:tcW w:w="0" w:type="auto"/>
            <w:hideMark/>
          </w:tcPr>
          <w:p w14:paraId="77CE8107"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Locali, impianti, coperture, pannelli, pavimenti, tubazioni</w:t>
            </w:r>
          </w:p>
        </w:tc>
      </w:tr>
      <w:tr w:rsidR="009826A8" w:rsidRPr="009826A8" w14:paraId="6ADA48F2" w14:textId="77777777" w:rsidTr="009826A8">
        <w:tc>
          <w:tcPr>
            <w:tcW w:w="0" w:type="auto"/>
            <w:hideMark/>
          </w:tcPr>
          <w:p w14:paraId="4A21597F"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Stato di conservazione</w:t>
            </w:r>
          </w:p>
        </w:tc>
        <w:tc>
          <w:tcPr>
            <w:tcW w:w="0" w:type="auto"/>
            <w:hideMark/>
          </w:tcPr>
          <w:p w14:paraId="7C73358C"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Esito del censimento e dei controlli</w:t>
            </w:r>
          </w:p>
        </w:tc>
      </w:tr>
      <w:tr w:rsidR="009826A8" w:rsidRPr="009826A8" w14:paraId="521C148D" w14:textId="77777777" w:rsidTr="009826A8">
        <w:tc>
          <w:tcPr>
            <w:tcW w:w="0" w:type="auto"/>
            <w:hideMark/>
          </w:tcPr>
          <w:p w14:paraId="532D6D50"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Comportamenti vietati</w:t>
            </w:r>
          </w:p>
        </w:tc>
        <w:tc>
          <w:tcPr>
            <w:tcW w:w="0" w:type="auto"/>
            <w:hideMark/>
          </w:tcPr>
          <w:p w14:paraId="10C78A94"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Forare, rompere, raschiare, tagliare, spostare, pulire con sistemi aggressivi</w:t>
            </w:r>
          </w:p>
        </w:tc>
      </w:tr>
      <w:tr w:rsidR="009826A8" w:rsidRPr="009826A8" w14:paraId="61381AA6" w14:textId="77777777" w:rsidTr="009826A8">
        <w:tc>
          <w:tcPr>
            <w:tcW w:w="0" w:type="auto"/>
            <w:hideMark/>
          </w:tcPr>
          <w:p w14:paraId="1A4D3553"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Procedure in caso di danno</w:t>
            </w:r>
          </w:p>
        </w:tc>
        <w:tc>
          <w:tcPr>
            <w:tcW w:w="0" w:type="auto"/>
            <w:hideMark/>
          </w:tcPr>
          <w:p w14:paraId="1F036B4D"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Interrompere l’attività, non rimuovere frammenti, avvisare il referente</w:t>
            </w:r>
          </w:p>
        </w:tc>
      </w:tr>
      <w:tr w:rsidR="009826A8" w:rsidRPr="009826A8" w14:paraId="1A211CFC" w14:textId="77777777" w:rsidTr="009826A8">
        <w:tc>
          <w:tcPr>
            <w:tcW w:w="0" w:type="auto"/>
            <w:hideMark/>
          </w:tcPr>
          <w:p w14:paraId="40633C8E"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Referenti</w:t>
            </w:r>
          </w:p>
        </w:tc>
        <w:tc>
          <w:tcPr>
            <w:tcW w:w="0" w:type="auto"/>
            <w:hideMark/>
          </w:tcPr>
          <w:p w14:paraId="3A16DCCB"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RRA, proprietario, responsabile interno, recapiti</w:t>
            </w:r>
          </w:p>
        </w:tc>
      </w:tr>
      <w:tr w:rsidR="009826A8" w:rsidRPr="009826A8" w14:paraId="23383BC5" w14:textId="77777777" w:rsidTr="009826A8">
        <w:tc>
          <w:tcPr>
            <w:tcW w:w="0" w:type="auto"/>
            <w:hideMark/>
          </w:tcPr>
          <w:p w14:paraId="03619CBC"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Manutenzioni</w:t>
            </w:r>
          </w:p>
        </w:tc>
        <w:tc>
          <w:tcPr>
            <w:tcW w:w="0" w:type="auto"/>
            <w:hideMark/>
          </w:tcPr>
          <w:p w14:paraId="52C679B7"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Obbligo di autorizzazione preventiva per ditte e manutentori</w:t>
            </w:r>
          </w:p>
        </w:tc>
      </w:tr>
    </w:tbl>
    <w:p w14:paraId="3F59C9AF" w14:textId="77777777" w:rsidR="009826A8" w:rsidRPr="009826A8" w:rsidRDefault="009826A8" w:rsidP="009826A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L’informazione agli occupanti è una misura di prevenzione essenziale, perché molti eventi di disturbo derivano da mancata conoscenza della presenza del materiale.</w:t>
      </w:r>
    </w:p>
    <w:p w14:paraId="729B2599" w14:textId="77777777" w:rsidR="009826A8" w:rsidRPr="009826A8" w:rsidRDefault="009826A8" w:rsidP="009826A8">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9826A8">
        <w:rPr>
          <w:rFonts w:ascii="Times New Roman" w:eastAsia="Times New Roman" w:hAnsi="Times New Roman" w:cs="Times New Roman"/>
          <w:b/>
          <w:bCs/>
          <w:kern w:val="0"/>
          <w:sz w:val="36"/>
          <w:szCs w:val="36"/>
          <w:lang w:eastAsia="it-IT"/>
          <w14:ligatures w14:val="none"/>
        </w:rPr>
        <w:t>Bonifica: rimozione, incapsulamento, confinamento</w:t>
      </w:r>
    </w:p>
    <w:p w14:paraId="44FE556B" w14:textId="77777777" w:rsidR="009826A8" w:rsidRPr="009826A8" w:rsidRDefault="009826A8" w:rsidP="009826A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Il D.M. 6 settembre 1994 prevede tre principali tecniche di bonifica.</w:t>
      </w:r>
    </w:p>
    <w:tbl>
      <w:tblPr>
        <w:tblStyle w:val="Grigliatabella"/>
        <w:tblW w:w="0" w:type="auto"/>
        <w:tblLook w:val="04A0" w:firstRow="1" w:lastRow="0" w:firstColumn="1" w:lastColumn="0" w:noHBand="0" w:noVBand="1"/>
      </w:tblPr>
      <w:tblGrid>
        <w:gridCol w:w="1736"/>
        <w:gridCol w:w="2477"/>
        <w:gridCol w:w="2042"/>
        <w:gridCol w:w="3599"/>
      </w:tblGrid>
      <w:tr w:rsidR="009826A8" w:rsidRPr="009826A8" w14:paraId="0FF3284E" w14:textId="77777777" w:rsidTr="009826A8">
        <w:tc>
          <w:tcPr>
            <w:tcW w:w="0" w:type="auto"/>
            <w:hideMark/>
          </w:tcPr>
          <w:p w14:paraId="6C1FC701" w14:textId="77777777" w:rsidR="009826A8" w:rsidRPr="009826A8" w:rsidRDefault="009826A8" w:rsidP="009826A8">
            <w:pPr>
              <w:jc w:val="center"/>
              <w:rPr>
                <w:rFonts w:ascii="Times New Roman" w:eastAsia="Times New Roman" w:hAnsi="Times New Roman" w:cs="Times New Roman"/>
                <w:b/>
                <w:bCs/>
                <w:kern w:val="0"/>
                <w:sz w:val="24"/>
                <w:szCs w:val="24"/>
                <w:lang w:eastAsia="it-IT"/>
                <w14:ligatures w14:val="none"/>
              </w:rPr>
            </w:pPr>
            <w:r w:rsidRPr="009826A8">
              <w:rPr>
                <w:rFonts w:ascii="Times New Roman" w:eastAsia="Times New Roman" w:hAnsi="Times New Roman" w:cs="Times New Roman"/>
                <w:b/>
                <w:bCs/>
                <w:kern w:val="0"/>
                <w:sz w:val="24"/>
                <w:szCs w:val="24"/>
                <w:lang w:eastAsia="it-IT"/>
                <w14:ligatures w14:val="none"/>
              </w:rPr>
              <w:t>Tecnica</w:t>
            </w:r>
          </w:p>
        </w:tc>
        <w:tc>
          <w:tcPr>
            <w:tcW w:w="0" w:type="auto"/>
            <w:hideMark/>
          </w:tcPr>
          <w:p w14:paraId="1A22691A" w14:textId="77777777" w:rsidR="009826A8" w:rsidRPr="009826A8" w:rsidRDefault="009826A8" w:rsidP="009826A8">
            <w:pPr>
              <w:jc w:val="center"/>
              <w:rPr>
                <w:rFonts w:ascii="Times New Roman" w:eastAsia="Times New Roman" w:hAnsi="Times New Roman" w:cs="Times New Roman"/>
                <w:b/>
                <w:bCs/>
                <w:kern w:val="0"/>
                <w:sz w:val="24"/>
                <w:szCs w:val="24"/>
                <w:lang w:eastAsia="it-IT"/>
                <w14:ligatures w14:val="none"/>
              </w:rPr>
            </w:pPr>
            <w:r w:rsidRPr="009826A8">
              <w:rPr>
                <w:rFonts w:ascii="Times New Roman" w:eastAsia="Times New Roman" w:hAnsi="Times New Roman" w:cs="Times New Roman"/>
                <w:b/>
                <w:bCs/>
                <w:kern w:val="0"/>
                <w:sz w:val="24"/>
                <w:szCs w:val="24"/>
                <w:lang w:eastAsia="it-IT"/>
                <w14:ligatures w14:val="none"/>
              </w:rPr>
              <w:t>Descrizione</w:t>
            </w:r>
          </w:p>
        </w:tc>
        <w:tc>
          <w:tcPr>
            <w:tcW w:w="0" w:type="auto"/>
            <w:hideMark/>
          </w:tcPr>
          <w:p w14:paraId="3526C81D" w14:textId="77777777" w:rsidR="009826A8" w:rsidRPr="009826A8" w:rsidRDefault="009826A8" w:rsidP="009826A8">
            <w:pPr>
              <w:jc w:val="center"/>
              <w:rPr>
                <w:rFonts w:ascii="Times New Roman" w:eastAsia="Times New Roman" w:hAnsi="Times New Roman" w:cs="Times New Roman"/>
                <w:b/>
                <w:bCs/>
                <w:kern w:val="0"/>
                <w:sz w:val="24"/>
                <w:szCs w:val="24"/>
                <w:lang w:eastAsia="it-IT"/>
                <w14:ligatures w14:val="none"/>
              </w:rPr>
            </w:pPr>
            <w:r w:rsidRPr="009826A8">
              <w:rPr>
                <w:rFonts w:ascii="Times New Roman" w:eastAsia="Times New Roman" w:hAnsi="Times New Roman" w:cs="Times New Roman"/>
                <w:b/>
                <w:bCs/>
                <w:kern w:val="0"/>
                <w:sz w:val="24"/>
                <w:szCs w:val="24"/>
                <w:lang w:eastAsia="it-IT"/>
                <w14:ligatures w14:val="none"/>
              </w:rPr>
              <w:t>Vantaggi</w:t>
            </w:r>
          </w:p>
        </w:tc>
        <w:tc>
          <w:tcPr>
            <w:tcW w:w="0" w:type="auto"/>
            <w:hideMark/>
          </w:tcPr>
          <w:p w14:paraId="2BD7C6D2" w14:textId="77777777" w:rsidR="009826A8" w:rsidRPr="009826A8" w:rsidRDefault="009826A8" w:rsidP="009826A8">
            <w:pPr>
              <w:jc w:val="center"/>
              <w:rPr>
                <w:rFonts w:ascii="Times New Roman" w:eastAsia="Times New Roman" w:hAnsi="Times New Roman" w:cs="Times New Roman"/>
                <w:b/>
                <w:bCs/>
                <w:kern w:val="0"/>
                <w:sz w:val="24"/>
                <w:szCs w:val="24"/>
                <w:lang w:eastAsia="it-IT"/>
                <w14:ligatures w14:val="none"/>
              </w:rPr>
            </w:pPr>
            <w:r w:rsidRPr="009826A8">
              <w:rPr>
                <w:rFonts w:ascii="Times New Roman" w:eastAsia="Times New Roman" w:hAnsi="Times New Roman" w:cs="Times New Roman"/>
                <w:b/>
                <w:bCs/>
                <w:kern w:val="0"/>
                <w:sz w:val="24"/>
                <w:szCs w:val="24"/>
                <w:lang w:eastAsia="it-IT"/>
                <w14:ligatures w14:val="none"/>
              </w:rPr>
              <w:t>Limiti</w:t>
            </w:r>
          </w:p>
        </w:tc>
      </w:tr>
      <w:tr w:rsidR="009826A8" w:rsidRPr="009826A8" w14:paraId="3B56BD25" w14:textId="77777777" w:rsidTr="009826A8">
        <w:tc>
          <w:tcPr>
            <w:tcW w:w="0" w:type="auto"/>
            <w:hideMark/>
          </w:tcPr>
          <w:p w14:paraId="7E5DECC8"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Rimozione</w:t>
            </w:r>
          </w:p>
        </w:tc>
        <w:tc>
          <w:tcPr>
            <w:tcW w:w="0" w:type="auto"/>
            <w:hideMark/>
          </w:tcPr>
          <w:p w14:paraId="7451BA8D"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Eliminazione fisica del MCA</w:t>
            </w:r>
          </w:p>
        </w:tc>
        <w:tc>
          <w:tcPr>
            <w:tcW w:w="0" w:type="auto"/>
            <w:hideMark/>
          </w:tcPr>
          <w:p w14:paraId="7E6EA3D6"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Elimina la fonte di rischio</w:t>
            </w:r>
          </w:p>
        </w:tc>
        <w:tc>
          <w:tcPr>
            <w:tcW w:w="0" w:type="auto"/>
            <w:hideMark/>
          </w:tcPr>
          <w:p w14:paraId="7590493E"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Costi più elevati, produzione di rifiuti, rischio per addetti se non gestita correttamente</w:t>
            </w:r>
          </w:p>
        </w:tc>
      </w:tr>
      <w:tr w:rsidR="009826A8" w:rsidRPr="009826A8" w14:paraId="5B42E2C5" w14:textId="77777777" w:rsidTr="009826A8">
        <w:tc>
          <w:tcPr>
            <w:tcW w:w="0" w:type="auto"/>
            <w:hideMark/>
          </w:tcPr>
          <w:p w14:paraId="09A30465"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Incapsulamento</w:t>
            </w:r>
          </w:p>
        </w:tc>
        <w:tc>
          <w:tcPr>
            <w:tcW w:w="0" w:type="auto"/>
            <w:hideMark/>
          </w:tcPr>
          <w:p w14:paraId="4DEC42E6"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Trattamento con prodotti penetranti o ricoprenti</w:t>
            </w:r>
          </w:p>
        </w:tc>
        <w:tc>
          <w:tcPr>
            <w:tcW w:w="0" w:type="auto"/>
            <w:hideMark/>
          </w:tcPr>
          <w:p w14:paraId="7BCF51D6"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Riduce rilascio fibre, costi inferiori</w:t>
            </w:r>
          </w:p>
        </w:tc>
        <w:tc>
          <w:tcPr>
            <w:tcW w:w="0" w:type="auto"/>
            <w:hideMark/>
          </w:tcPr>
          <w:p w14:paraId="5B83683D"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Non elimina il materiale, richiede controlli periodici</w:t>
            </w:r>
          </w:p>
        </w:tc>
      </w:tr>
      <w:tr w:rsidR="009826A8" w:rsidRPr="009826A8" w14:paraId="10F99F28" w14:textId="77777777" w:rsidTr="009826A8">
        <w:tc>
          <w:tcPr>
            <w:tcW w:w="0" w:type="auto"/>
            <w:hideMark/>
          </w:tcPr>
          <w:p w14:paraId="30028E03"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Confinamento</w:t>
            </w:r>
          </w:p>
        </w:tc>
        <w:tc>
          <w:tcPr>
            <w:tcW w:w="0" w:type="auto"/>
            <w:hideMark/>
          </w:tcPr>
          <w:p w14:paraId="6D0ED8E3"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Barriera fisica tra MCA e ambienti occupati</w:t>
            </w:r>
          </w:p>
        </w:tc>
        <w:tc>
          <w:tcPr>
            <w:tcW w:w="0" w:type="auto"/>
            <w:hideMark/>
          </w:tcPr>
          <w:p w14:paraId="6DA36776"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Riduce accessibilità e disturbo</w:t>
            </w:r>
          </w:p>
        </w:tc>
        <w:tc>
          <w:tcPr>
            <w:tcW w:w="0" w:type="auto"/>
            <w:hideMark/>
          </w:tcPr>
          <w:p w14:paraId="30C50265"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Non elimina il materiale, richiede manutenzione e monitoraggio</w:t>
            </w:r>
          </w:p>
        </w:tc>
      </w:tr>
    </w:tbl>
    <w:p w14:paraId="535B796D" w14:textId="77777777" w:rsidR="009826A8" w:rsidRPr="009826A8" w:rsidRDefault="009826A8" w:rsidP="009826A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 xml:space="preserve">La rimozione è la soluzione definitiva, soprattutto quando il materiale è friabile, degradato, facilmente accessibile o interferente con attività future. Il </w:t>
      </w:r>
      <w:proofErr w:type="spellStart"/>
      <w:r w:rsidRPr="009826A8">
        <w:rPr>
          <w:rFonts w:ascii="Times New Roman" w:eastAsia="Times New Roman" w:hAnsi="Times New Roman" w:cs="Times New Roman"/>
          <w:kern w:val="0"/>
          <w:sz w:val="24"/>
          <w:szCs w:val="24"/>
          <w:lang w:eastAsia="it-IT"/>
          <w14:ligatures w14:val="none"/>
        </w:rPr>
        <w:t>D.Lgs.</w:t>
      </w:r>
      <w:proofErr w:type="spellEnd"/>
      <w:r w:rsidRPr="009826A8">
        <w:rPr>
          <w:rFonts w:ascii="Times New Roman" w:eastAsia="Times New Roman" w:hAnsi="Times New Roman" w:cs="Times New Roman"/>
          <w:kern w:val="0"/>
          <w:sz w:val="24"/>
          <w:szCs w:val="24"/>
          <w:lang w:eastAsia="it-IT"/>
          <w14:ligatures w14:val="none"/>
        </w:rPr>
        <w:t xml:space="preserve"> 213/2025, recependo la Direttiva (UE) 2023/2668, introduce una maggiore attenzione alla priorità della rimozione rispetto ad altre forme di gestione e bonifica, quando tecnicamente possibile. </w:t>
      </w:r>
    </w:p>
    <w:p w14:paraId="774E37C4" w14:textId="77777777" w:rsidR="009826A8" w:rsidRPr="009826A8" w:rsidRDefault="009826A8" w:rsidP="009826A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Gli interventi devono essere affidati a imprese abilitate, iscritte all’Albo Nazionale Gestori Ambientali nelle categorie pertinenti, in particolare categoria 10A per materiali edili contenenti amianto in matrici cementizie o resinoidi e categoria 10B per materiali friabili, isolanti, spruzzati, tessili, guarnizioni, stucchi, bitumi e altri materiali incoerenti.</w:t>
      </w:r>
    </w:p>
    <w:p w14:paraId="0EBE4CFF" w14:textId="77777777" w:rsidR="009826A8" w:rsidRPr="009826A8" w:rsidRDefault="009826A8" w:rsidP="009826A8">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9826A8">
        <w:rPr>
          <w:rFonts w:ascii="Times New Roman" w:eastAsia="Times New Roman" w:hAnsi="Times New Roman" w:cs="Times New Roman"/>
          <w:b/>
          <w:bCs/>
          <w:kern w:val="0"/>
          <w:sz w:val="36"/>
          <w:szCs w:val="36"/>
          <w:lang w:eastAsia="it-IT"/>
          <w14:ligatures w14:val="none"/>
        </w:rPr>
        <w:t>Gestione dei rifiuti contenenti amianto</w:t>
      </w:r>
    </w:p>
    <w:p w14:paraId="359C909A" w14:textId="77777777" w:rsidR="009826A8" w:rsidRPr="009826A8" w:rsidRDefault="009826A8" w:rsidP="009826A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I materiali contenenti amianto rimossi diventano rifiuti contenenti amianto e devono essere gestiti come rifiuti pericolosi secondo le norme ambientali e di sicurezza. La gestione comprende confezionamento, etichettatura, deposito temporaneo, trasporto e conferimento presso impianti autorizzati.</w:t>
      </w:r>
    </w:p>
    <w:p w14:paraId="5264461A" w14:textId="77777777" w:rsidR="009826A8" w:rsidRPr="009826A8" w:rsidRDefault="009826A8" w:rsidP="009826A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Le regole generali prevedono:</w:t>
      </w:r>
    </w:p>
    <w:tbl>
      <w:tblPr>
        <w:tblStyle w:val="Grigliatabella"/>
        <w:tblW w:w="0" w:type="auto"/>
        <w:tblLook w:val="04A0" w:firstRow="1" w:lastRow="0" w:firstColumn="1" w:lastColumn="0" w:noHBand="0" w:noVBand="1"/>
      </w:tblPr>
      <w:tblGrid>
        <w:gridCol w:w="2276"/>
        <w:gridCol w:w="7471"/>
      </w:tblGrid>
      <w:tr w:rsidR="009826A8" w:rsidRPr="009826A8" w14:paraId="09293F09" w14:textId="77777777" w:rsidTr="009826A8">
        <w:tc>
          <w:tcPr>
            <w:tcW w:w="0" w:type="auto"/>
            <w:hideMark/>
          </w:tcPr>
          <w:p w14:paraId="6BE22B55" w14:textId="77777777" w:rsidR="009826A8" w:rsidRPr="009826A8" w:rsidRDefault="009826A8" w:rsidP="009826A8">
            <w:pPr>
              <w:jc w:val="center"/>
              <w:rPr>
                <w:rFonts w:ascii="Times New Roman" w:eastAsia="Times New Roman" w:hAnsi="Times New Roman" w:cs="Times New Roman"/>
                <w:b/>
                <w:bCs/>
                <w:kern w:val="0"/>
                <w:sz w:val="24"/>
                <w:szCs w:val="24"/>
                <w:lang w:eastAsia="it-IT"/>
                <w14:ligatures w14:val="none"/>
              </w:rPr>
            </w:pPr>
            <w:r w:rsidRPr="009826A8">
              <w:rPr>
                <w:rFonts w:ascii="Times New Roman" w:eastAsia="Times New Roman" w:hAnsi="Times New Roman" w:cs="Times New Roman"/>
                <w:b/>
                <w:bCs/>
                <w:kern w:val="0"/>
                <w:sz w:val="24"/>
                <w:szCs w:val="24"/>
                <w:lang w:eastAsia="it-IT"/>
                <w14:ligatures w14:val="none"/>
              </w:rPr>
              <w:t>Fase</w:t>
            </w:r>
          </w:p>
        </w:tc>
        <w:tc>
          <w:tcPr>
            <w:tcW w:w="7471" w:type="dxa"/>
            <w:hideMark/>
          </w:tcPr>
          <w:p w14:paraId="5EA55E8D" w14:textId="77777777" w:rsidR="009826A8" w:rsidRPr="009826A8" w:rsidRDefault="009826A8" w:rsidP="009826A8">
            <w:pPr>
              <w:jc w:val="center"/>
              <w:rPr>
                <w:rFonts w:ascii="Times New Roman" w:eastAsia="Times New Roman" w:hAnsi="Times New Roman" w:cs="Times New Roman"/>
                <w:b/>
                <w:bCs/>
                <w:kern w:val="0"/>
                <w:sz w:val="24"/>
                <w:szCs w:val="24"/>
                <w:lang w:eastAsia="it-IT"/>
                <w14:ligatures w14:val="none"/>
              </w:rPr>
            </w:pPr>
            <w:r w:rsidRPr="009826A8">
              <w:rPr>
                <w:rFonts w:ascii="Times New Roman" w:eastAsia="Times New Roman" w:hAnsi="Times New Roman" w:cs="Times New Roman"/>
                <w:b/>
                <w:bCs/>
                <w:kern w:val="0"/>
                <w:sz w:val="24"/>
                <w:szCs w:val="24"/>
                <w:lang w:eastAsia="it-IT"/>
                <w14:ligatures w14:val="none"/>
              </w:rPr>
              <w:t>Misure essenziali</w:t>
            </w:r>
          </w:p>
        </w:tc>
      </w:tr>
      <w:tr w:rsidR="009826A8" w:rsidRPr="009826A8" w14:paraId="4D3CB205" w14:textId="77777777" w:rsidTr="009826A8">
        <w:tc>
          <w:tcPr>
            <w:tcW w:w="0" w:type="auto"/>
            <w:hideMark/>
          </w:tcPr>
          <w:p w14:paraId="0E6400C2"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Rimozione</w:t>
            </w:r>
          </w:p>
        </w:tc>
        <w:tc>
          <w:tcPr>
            <w:tcW w:w="7471" w:type="dxa"/>
            <w:hideMark/>
          </w:tcPr>
          <w:p w14:paraId="2D7DC6B4"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Tecniche che limitino la produzione e dispersione di polvere</w:t>
            </w:r>
          </w:p>
        </w:tc>
      </w:tr>
      <w:tr w:rsidR="009826A8" w:rsidRPr="009826A8" w14:paraId="39708097" w14:textId="77777777" w:rsidTr="009826A8">
        <w:tc>
          <w:tcPr>
            <w:tcW w:w="0" w:type="auto"/>
            <w:hideMark/>
          </w:tcPr>
          <w:p w14:paraId="2C86405C"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Confezionamento</w:t>
            </w:r>
          </w:p>
        </w:tc>
        <w:tc>
          <w:tcPr>
            <w:tcW w:w="7471" w:type="dxa"/>
            <w:hideMark/>
          </w:tcPr>
          <w:p w14:paraId="355FDB65"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Imballaggi chiusi, resistenti, sigillati e identificati</w:t>
            </w:r>
          </w:p>
        </w:tc>
      </w:tr>
      <w:tr w:rsidR="009826A8" w:rsidRPr="009826A8" w14:paraId="61F477A7" w14:textId="77777777" w:rsidTr="009826A8">
        <w:tc>
          <w:tcPr>
            <w:tcW w:w="0" w:type="auto"/>
            <w:hideMark/>
          </w:tcPr>
          <w:p w14:paraId="2C0204F6"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Etichettatura</w:t>
            </w:r>
          </w:p>
        </w:tc>
        <w:tc>
          <w:tcPr>
            <w:tcW w:w="7471" w:type="dxa"/>
            <w:hideMark/>
          </w:tcPr>
          <w:p w14:paraId="64851E9E"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Indicazione della presenza di amianto e del rifiuto pericoloso</w:t>
            </w:r>
          </w:p>
        </w:tc>
      </w:tr>
      <w:tr w:rsidR="009826A8" w:rsidRPr="009826A8" w14:paraId="650191F9" w14:textId="77777777" w:rsidTr="009826A8">
        <w:tc>
          <w:tcPr>
            <w:tcW w:w="0" w:type="auto"/>
            <w:hideMark/>
          </w:tcPr>
          <w:p w14:paraId="7A9F1CDA"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Deposito temporaneo</w:t>
            </w:r>
          </w:p>
        </w:tc>
        <w:tc>
          <w:tcPr>
            <w:tcW w:w="7471" w:type="dxa"/>
            <w:hideMark/>
          </w:tcPr>
          <w:p w14:paraId="4522D992"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Area dedicata, controllata, segnalata e separata da altri rifiuti</w:t>
            </w:r>
          </w:p>
        </w:tc>
      </w:tr>
      <w:tr w:rsidR="009826A8" w:rsidRPr="009826A8" w14:paraId="066898AD" w14:textId="77777777" w:rsidTr="009826A8">
        <w:tc>
          <w:tcPr>
            <w:tcW w:w="0" w:type="auto"/>
            <w:hideMark/>
          </w:tcPr>
          <w:p w14:paraId="0849F8CB"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Trasporto</w:t>
            </w:r>
          </w:p>
        </w:tc>
        <w:tc>
          <w:tcPr>
            <w:tcW w:w="7471" w:type="dxa"/>
            <w:hideMark/>
          </w:tcPr>
          <w:p w14:paraId="18DA367A"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Impresa autorizzata</w:t>
            </w:r>
          </w:p>
        </w:tc>
      </w:tr>
      <w:tr w:rsidR="009826A8" w:rsidRPr="009826A8" w14:paraId="500AE9B1" w14:textId="77777777" w:rsidTr="009826A8">
        <w:tc>
          <w:tcPr>
            <w:tcW w:w="0" w:type="auto"/>
            <w:hideMark/>
          </w:tcPr>
          <w:p w14:paraId="75B5DAB8"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Smaltimento</w:t>
            </w:r>
          </w:p>
        </w:tc>
        <w:tc>
          <w:tcPr>
            <w:tcW w:w="7471" w:type="dxa"/>
            <w:hideMark/>
          </w:tcPr>
          <w:p w14:paraId="5C94B5AF"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Discarica o impianto autorizzato</w:t>
            </w:r>
          </w:p>
        </w:tc>
      </w:tr>
    </w:tbl>
    <w:p w14:paraId="4DB41373" w14:textId="77777777" w:rsidR="009826A8" w:rsidRPr="009826A8" w:rsidRDefault="009826A8" w:rsidP="009826A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I DPI monouso, i teli, i filtri, i materiali di pulizia e gli imballaggi contaminati devono essere gestiti anch’essi come rifiuti contaminati da amianto.</w:t>
      </w:r>
    </w:p>
    <w:p w14:paraId="105B0F0D" w14:textId="77777777" w:rsidR="009826A8" w:rsidRPr="009826A8" w:rsidRDefault="009826A8" w:rsidP="009826A8">
      <w:pPr>
        <w:spacing w:before="100" w:beforeAutospacing="1" w:after="100" w:afterAutospacing="1" w:line="240" w:lineRule="auto"/>
        <w:outlineLvl w:val="1"/>
        <w:rPr>
          <w:rFonts w:ascii="Times New Roman" w:eastAsia="Times New Roman" w:hAnsi="Times New Roman" w:cs="Times New Roman"/>
          <w:b/>
          <w:bCs/>
          <w:kern w:val="0"/>
          <w:sz w:val="36"/>
          <w:szCs w:val="36"/>
          <w:lang w:eastAsia="it-IT"/>
          <w14:ligatures w14:val="none"/>
        </w:rPr>
      </w:pPr>
      <w:r w:rsidRPr="009826A8">
        <w:rPr>
          <w:rFonts w:ascii="Times New Roman" w:eastAsia="Times New Roman" w:hAnsi="Times New Roman" w:cs="Times New Roman"/>
          <w:b/>
          <w:bCs/>
          <w:kern w:val="0"/>
          <w:sz w:val="36"/>
          <w:szCs w:val="36"/>
          <w:lang w:eastAsia="it-IT"/>
          <w14:ligatures w14:val="none"/>
        </w:rPr>
        <w:t>Cosa non fare mai in presenza di sospetto amianto</w:t>
      </w:r>
    </w:p>
    <w:p w14:paraId="105D2B42" w14:textId="77777777" w:rsidR="009826A8" w:rsidRPr="009826A8" w:rsidRDefault="009826A8" w:rsidP="009826A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In presenza di materiali sospetti non bisogna improvvisare. Sono da evitare:</w:t>
      </w:r>
    </w:p>
    <w:tbl>
      <w:tblPr>
        <w:tblStyle w:val="Grigliatabella"/>
        <w:tblW w:w="0" w:type="auto"/>
        <w:tblLook w:val="04A0" w:firstRow="1" w:lastRow="0" w:firstColumn="1" w:lastColumn="0" w:noHBand="0" w:noVBand="1"/>
      </w:tblPr>
      <w:tblGrid>
        <w:gridCol w:w="4695"/>
        <w:gridCol w:w="5052"/>
      </w:tblGrid>
      <w:tr w:rsidR="009826A8" w:rsidRPr="009826A8" w14:paraId="278F1277" w14:textId="77777777" w:rsidTr="009826A8">
        <w:tc>
          <w:tcPr>
            <w:tcW w:w="0" w:type="auto"/>
            <w:hideMark/>
          </w:tcPr>
          <w:p w14:paraId="61514C08" w14:textId="77777777" w:rsidR="009826A8" w:rsidRPr="009826A8" w:rsidRDefault="009826A8" w:rsidP="009826A8">
            <w:pPr>
              <w:jc w:val="center"/>
              <w:rPr>
                <w:rFonts w:ascii="Times New Roman" w:eastAsia="Times New Roman" w:hAnsi="Times New Roman" w:cs="Times New Roman"/>
                <w:b/>
                <w:bCs/>
                <w:kern w:val="0"/>
                <w:sz w:val="24"/>
                <w:szCs w:val="24"/>
                <w:lang w:eastAsia="it-IT"/>
                <w14:ligatures w14:val="none"/>
              </w:rPr>
            </w:pPr>
            <w:r w:rsidRPr="009826A8">
              <w:rPr>
                <w:rFonts w:ascii="Times New Roman" w:eastAsia="Times New Roman" w:hAnsi="Times New Roman" w:cs="Times New Roman"/>
                <w:b/>
                <w:bCs/>
                <w:kern w:val="0"/>
                <w:sz w:val="24"/>
                <w:szCs w:val="24"/>
                <w:lang w:eastAsia="it-IT"/>
                <w14:ligatures w14:val="none"/>
              </w:rPr>
              <w:t>Comportamento errato</w:t>
            </w:r>
          </w:p>
        </w:tc>
        <w:tc>
          <w:tcPr>
            <w:tcW w:w="5052" w:type="dxa"/>
            <w:hideMark/>
          </w:tcPr>
          <w:p w14:paraId="06DEAC92" w14:textId="77777777" w:rsidR="009826A8" w:rsidRPr="009826A8" w:rsidRDefault="009826A8" w:rsidP="009826A8">
            <w:pPr>
              <w:jc w:val="center"/>
              <w:rPr>
                <w:rFonts w:ascii="Times New Roman" w:eastAsia="Times New Roman" w:hAnsi="Times New Roman" w:cs="Times New Roman"/>
                <w:b/>
                <w:bCs/>
                <w:kern w:val="0"/>
                <w:sz w:val="24"/>
                <w:szCs w:val="24"/>
                <w:lang w:eastAsia="it-IT"/>
                <w14:ligatures w14:val="none"/>
              </w:rPr>
            </w:pPr>
            <w:r w:rsidRPr="009826A8">
              <w:rPr>
                <w:rFonts w:ascii="Times New Roman" w:eastAsia="Times New Roman" w:hAnsi="Times New Roman" w:cs="Times New Roman"/>
                <w:b/>
                <w:bCs/>
                <w:kern w:val="0"/>
                <w:sz w:val="24"/>
                <w:szCs w:val="24"/>
                <w:lang w:eastAsia="it-IT"/>
                <w14:ligatures w14:val="none"/>
              </w:rPr>
              <w:t>Perché è pericoloso</w:t>
            </w:r>
          </w:p>
        </w:tc>
      </w:tr>
      <w:tr w:rsidR="009826A8" w:rsidRPr="009826A8" w14:paraId="036BD374" w14:textId="77777777" w:rsidTr="009826A8">
        <w:tc>
          <w:tcPr>
            <w:tcW w:w="0" w:type="auto"/>
            <w:hideMark/>
          </w:tcPr>
          <w:p w14:paraId="36C42643"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Rompere, tagliare o forare il materiale</w:t>
            </w:r>
          </w:p>
        </w:tc>
        <w:tc>
          <w:tcPr>
            <w:tcW w:w="5052" w:type="dxa"/>
            <w:hideMark/>
          </w:tcPr>
          <w:p w14:paraId="1DFCB9AD"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Può liberare fibre respirabili</w:t>
            </w:r>
          </w:p>
        </w:tc>
      </w:tr>
      <w:tr w:rsidR="009826A8" w:rsidRPr="009826A8" w14:paraId="0AE66928" w14:textId="77777777" w:rsidTr="009826A8">
        <w:tc>
          <w:tcPr>
            <w:tcW w:w="0" w:type="auto"/>
            <w:hideMark/>
          </w:tcPr>
          <w:p w14:paraId="5A9BC60E"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Pulire con idropulitrice o spazzole abrasive</w:t>
            </w:r>
          </w:p>
        </w:tc>
        <w:tc>
          <w:tcPr>
            <w:tcW w:w="5052" w:type="dxa"/>
            <w:hideMark/>
          </w:tcPr>
          <w:p w14:paraId="2509FAC7"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Può disperdere fibre nell’ambiente</w:t>
            </w:r>
          </w:p>
        </w:tc>
      </w:tr>
      <w:tr w:rsidR="009826A8" w:rsidRPr="009826A8" w14:paraId="11C6897E" w14:textId="77777777" w:rsidTr="009826A8">
        <w:tc>
          <w:tcPr>
            <w:tcW w:w="0" w:type="auto"/>
            <w:hideMark/>
          </w:tcPr>
          <w:p w14:paraId="445CD43C"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Rimuovere autonomamente lastre o frammenti</w:t>
            </w:r>
          </w:p>
        </w:tc>
        <w:tc>
          <w:tcPr>
            <w:tcW w:w="5052" w:type="dxa"/>
            <w:hideMark/>
          </w:tcPr>
          <w:p w14:paraId="3846DE2F"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Espone operatori e terzi</w:t>
            </w:r>
          </w:p>
        </w:tc>
      </w:tr>
      <w:tr w:rsidR="009826A8" w:rsidRPr="009826A8" w14:paraId="03C8CE52" w14:textId="77777777" w:rsidTr="009826A8">
        <w:tc>
          <w:tcPr>
            <w:tcW w:w="0" w:type="auto"/>
            <w:hideMark/>
          </w:tcPr>
          <w:p w14:paraId="08956724"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Camminare su coperture in cemento-amianto</w:t>
            </w:r>
          </w:p>
        </w:tc>
        <w:tc>
          <w:tcPr>
            <w:tcW w:w="5052" w:type="dxa"/>
            <w:hideMark/>
          </w:tcPr>
          <w:p w14:paraId="66A284AD"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Rischio caduta dall’alto e rottura del materiale</w:t>
            </w:r>
          </w:p>
        </w:tc>
      </w:tr>
      <w:tr w:rsidR="009826A8" w:rsidRPr="009826A8" w14:paraId="3A1C762A" w14:textId="77777777" w:rsidTr="009826A8">
        <w:tc>
          <w:tcPr>
            <w:tcW w:w="0" w:type="auto"/>
            <w:hideMark/>
          </w:tcPr>
          <w:p w14:paraId="499FE1BA"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Gettare frammenti nei rifiuti ordinari</w:t>
            </w:r>
          </w:p>
        </w:tc>
        <w:tc>
          <w:tcPr>
            <w:tcW w:w="5052" w:type="dxa"/>
            <w:hideMark/>
          </w:tcPr>
          <w:p w14:paraId="15A3706B"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Violazione ambientale e rischio sanitario</w:t>
            </w:r>
          </w:p>
        </w:tc>
      </w:tr>
      <w:tr w:rsidR="009826A8" w:rsidRPr="009826A8" w14:paraId="56C8EBE6" w14:textId="77777777" w:rsidTr="009826A8">
        <w:tc>
          <w:tcPr>
            <w:tcW w:w="0" w:type="auto"/>
            <w:hideMark/>
          </w:tcPr>
          <w:p w14:paraId="70EDF30F"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Coprire il problema senza censimento</w:t>
            </w:r>
          </w:p>
        </w:tc>
        <w:tc>
          <w:tcPr>
            <w:tcW w:w="5052" w:type="dxa"/>
            <w:hideMark/>
          </w:tcPr>
          <w:p w14:paraId="7392836D"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Perdita di tracciabilità e rischio in futuri lavori</w:t>
            </w:r>
          </w:p>
        </w:tc>
      </w:tr>
      <w:tr w:rsidR="009826A8" w:rsidRPr="009826A8" w14:paraId="10C3AB37" w14:textId="77777777" w:rsidTr="009826A8">
        <w:tc>
          <w:tcPr>
            <w:tcW w:w="0" w:type="auto"/>
            <w:hideMark/>
          </w:tcPr>
          <w:p w14:paraId="750EC7C5"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Affidarsi alla sola osservazione visiva</w:t>
            </w:r>
          </w:p>
        </w:tc>
        <w:tc>
          <w:tcPr>
            <w:tcW w:w="5052" w:type="dxa"/>
            <w:hideMark/>
          </w:tcPr>
          <w:p w14:paraId="5312BC03" w14:textId="77777777" w:rsidR="009826A8" w:rsidRPr="009826A8" w:rsidRDefault="009826A8" w:rsidP="009826A8">
            <w:pPr>
              <w:rPr>
                <w:rFonts w:ascii="Times New Roman" w:eastAsia="Times New Roman" w:hAnsi="Times New Roman" w:cs="Times New Roman"/>
                <w:kern w:val="0"/>
                <w:sz w:val="24"/>
                <w:szCs w:val="24"/>
                <w:lang w:eastAsia="it-IT"/>
                <w14:ligatures w14:val="none"/>
              </w:rPr>
            </w:pPr>
            <w:r w:rsidRPr="009826A8">
              <w:rPr>
                <w:rFonts w:ascii="Times New Roman" w:eastAsia="Times New Roman" w:hAnsi="Times New Roman" w:cs="Times New Roman"/>
                <w:kern w:val="0"/>
                <w:sz w:val="24"/>
                <w:szCs w:val="24"/>
                <w:lang w:eastAsia="it-IT"/>
                <w14:ligatures w14:val="none"/>
              </w:rPr>
              <w:t>Molti MCA non sono riconoscibili con certezza</w:t>
            </w:r>
          </w:p>
        </w:tc>
      </w:tr>
    </w:tbl>
    <w:p w14:paraId="3DD4BC24" w14:textId="77777777" w:rsidR="00336AF8" w:rsidRDefault="00336AF8"/>
    <w:sectPr w:rsidR="00336AF8" w:rsidSect="00EF443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08"/>
  <w:hyphenationZone w:val="283"/>
  <w:characterSpacingControl w:val="doNotCompress"/>
  <w:savePreviewPicture/>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9826A8"/>
    <w:rsid w:val="00336AF8"/>
    <w:rsid w:val="009826A8"/>
    <w:rsid w:val="00B63FF2"/>
    <w:rsid w:val="00C15881"/>
    <w:rsid w:val="00D078F3"/>
    <w:rsid w:val="00EF4436"/>
    <w:rsid w:val="00F26AD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7FD40"/>
  <w15:chartTrackingRefBased/>
  <w15:docId w15:val="{194F02E2-96D4-41B3-A2F2-345687574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9826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9826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9826A8"/>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9826A8"/>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9826A8"/>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9826A8"/>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826A8"/>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826A8"/>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826A8"/>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826A8"/>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9826A8"/>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9826A8"/>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9826A8"/>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9826A8"/>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9826A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826A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826A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826A8"/>
    <w:rPr>
      <w:rFonts w:eastAsiaTheme="majorEastAsia" w:cstheme="majorBidi"/>
      <w:color w:val="272727" w:themeColor="text1" w:themeTint="D8"/>
    </w:rPr>
  </w:style>
  <w:style w:type="paragraph" w:styleId="Titolo">
    <w:name w:val="Title"/>
    <w:basedOn w:val="Normale"/>
    <w:next w:val="Normale"/>
    <w:link w:val="TitoloCarattere"/>
    <w:uiPriority w:val="10"/>
    <w:qFormat/>
    <w:rsid w:val="009826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826A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826A8"/>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826A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826A8"/>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9826A8"/>
    <w:rPr>
      <w:i/>
      <w:iCs/>
      <w:color w:val="404040" w:themeColor="text1" w:themeTint="BF"/>
    </w:rPr>
  </w:style>
  <w:style w:type="paragraph" w:styleId="Paragrafoelenco">
    <w:name w:val="List Paragraph"/>
    <w:basedOn w:val="Normale"/>
    <w:uiPriority w:val="34"/>
    <w:qFormat/>
    <w:rsid w:val="009826A8"/>
    <w:pPr>
      <w:ind w:left="720"/>
      <w:contextualSpacing/>
    </w:pPr>
  </w:style>
  <w:style w:type="character" w:styleId="Enfasiintensa">
    <w:name w:val="Intense Emphasis"/>
    <w:basedOn w:val="Carpredefinitoparagrafo"/>
    <w:uiPriority w:val="21"/>
    <w:qFormat/>
    <w:rsid w:val="009826A8"/>
    <w:rPr>
      <w:i/>
      <w:iCs/>
      <w:color w:val="0F4761" w:themeColor="accent1" w:themeShade="BF"/>
    </w:rPr>
  </w:style>
  <w:style w:type="paragraph" w:styleId="Citazioneintensa">
    <w:name w:val="Intense Quote"/>
    <w:basedOn w:val="Normale"/>
    <w:next w:val="Normale"/>
    <w:link w:val="CitazioneintensaCarattere"/>
    <w:uiPriority w:val="30"/>
    <w:qFormat/>
    <w:rsid w:val="009826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9826A8"/>
    <w:rPr>
      <w:i/>
      <w:iCs/>
      <w:color w:val="0F4761" w:themeColor="accent1" w:themeShade="BF"/>
    </w:rPr>
  </w:style>
  <w:style w:type="character" w:styleId="Riferimentointenso">
    <w:name w:val="Intense Reference"/>
    <w:basedOn w:val="Carpredefinitoparagrafo"/>
    <w:uiPriority w:val="32"/>
    <w:qFormat/>
    <w:rsid w:val="009826A8"/>
    <w:rPr>
      <w:b/>
      <w:bCs/>
      <w:smallCaps/>
      <w:color w:val="0F4761" w:themeColor="accent1" w:themeShade="BF"/>
      <w:spacing w:val="5"/>
    </w:rPr>
  </w:style>
  <w:style w:type="table" w:styleId="Grigliatabella">
    <w:name w:val="Table Grid"/>
    <w:basedOn w:val="Tabellanormale"/>
    <w:uiPriority w:val="39"/>
    <w:rsid w:val="009826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2425</Words>
  <Characters>16251</Characters>
  <Application>Microsoft Office Word</Application>
  <DocSecurity>0</DocSecurity>
  <Lines>396</Lines>
  <Paragraphs>296</Paragraphs>
  <ScaleCrop>false</ScaleCrop>
  <Company/>
  <LinksUpToDate>false</LinksUpToDate>
  <CharactersWithSpaces>18380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 BENNI</dc:creator>
  <cp:keywords/>
  <dc:description/>
  <cp:lastModifiedBy>PAOLO BENNI</cp:lastModifiedBy>
  <cp:revision>1</cp:revision>
  <dcterms:created xsi:type="dcterms:W3CDTF">2026-04-28T12:14:00Z</dcterms:created>
  <dcterms:modified xsi:type="dcterms:W3CDTF">2026-04-28T12:16:00Z</dcterms:modified>
</cp:coreProperties>
</file>