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64D02" w14:textId="77777777" w:rsidR="00000000" w:rsidRDefault="00000000">
      <w:pPr>
        <w:pStyle w:val="Titolo1"/>
        <w:divId w:val="95761324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QsRA Sisma Processi Seveso III</w:t>
      </w:r>
    </w:p>
    <w:p w14:paraId="1FB538D2" w14:textId="77777777" w:rsidR="00000000" w:rsidRDefault="00000000">
      <w:pPr>
        <w:pStyle w:val="NormaleWeb"/>
        <w:divId w:val="95761324"/>
        <w:rPr>
          <w:rFonts w:ascii="Calibri" w:hAnsi="Calibri" w:cs="Calibri"/>
          <w:color w:val="1F2F4D"/>
        </w:rPr>
      </w:pPr>
      <w:r>
        <w:rPr>
          <w:rStyle w:val="Enfasigrassetto"/>
          <w:rFonts w:ascii="Calibri" w:hAnsi="Calibri" w:cs="Calibri"/>
          <w:color w:val="1F2F4D"/>
        </w:rPr>
        <w:t>Metodo:</w:t>
      </w:r>
      <w:r>
        <w:rPr>
          <w:rFonts w:ascii="Calibri" w:hAnsi="Calibri" w:cs="Calibri"/>
          <w:color w:val="1F2F4D"/>
        </w:rPr>
        <w:t xml:space="preserve"> Implementazione operativa semplificata ispirata al Quaderno INAIL n. 27/2026</w:t>
      </w:r>
    </w:p>
    <w:p w14:paraId="065183C5" w14:textId="77777777" w:rsidR="00000000" w:rsidRDefault="00000000">
      <w:pPr>
        <w:pStyle w:val="small"/>
        <w:spacing w:before="0" w:beforeAutospacing="0" w:after="150" w:afterAutospacing="0"/>
        <w:divId w:val="95761324"/>
        <w:rPr>
          <w:rFonts w:ascii="Calibri" w:hAnsi="Calibri" w:cs="Calibri"/>
        </w:rPr>
      </w:pPr>
      <w:r>
        <w:rPr>
          <w:rFonts w:ascii="Calibri" w:hAnsi="Calibri" w:cs="Calibri"/>
        </w:rPr>
        <w:t>Documento generato lato client in data 28/03/2026, 09:27</w:t>
      </w:r>
    </w:p>
    <w:p w14:paraId="0038C7E1" w14:textId="77777777" w:rsidR="00000000" w:rsidRDefault="00000000">
      <w:pPr>
        <w:pStyle w:val="Titolo2"/>
        <w:divId w:val="1133212332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1. Dati generali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4"/>
        <w:gridCol w:w="6652"/>
      </w:tblGrid>
      <w:tr w:rsidR="00000000" w14:paraId="4F64CC19" w14:textId="77777777">
        <w:trPr>
          <w:divId w:val="113321233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shd w:val="clear" w:color="auto" w:fill="EDF4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D58B5C4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Titolo studio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F41EE6D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QsRA sismica 2026 - Area serbatoi e utilities solventi</w:t>
            </w:r>
          </w:p>
        </w:tc>
      </w:tr>
      <w:tr w:rsidR="00000000" w14:paraId="33CC094F" w14:textId="77777777">
        <w:trPr>
          <w:divId w:val="113321233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shd w:val="clear" w:color="auto" w:fill="EDF4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8F6C8B3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Società / gestore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7E7143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ChemSafe S.r.l.</w:t>
            </w:r>
          </w:p>
        </w:tc>
      </w:tr>
      <w:tr w:rsidR="00000000" w14:paraId="447BC2CA" w14:textId="77777777">
        <w:trPr>
          <w:divId w:val="113321233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shd w:val="clear" w:color="auto" w:fill="EDF4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58DD9BE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Stabilimento / sito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DE710C9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Stabilimento PIR - Polo Industriale Sud</w:t>
            </w:r>
          </w:p>
        </w:tc>
      </w:tr>
      <w:tr w:rsidR="00000000" w14:paraId="33B2A779" w14:textId="77777777">
        <w:trPr>
          <w:divId w:val="113321233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shd w:val="clear" w:color="auto" w:fill="EDF4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AEC9C11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Unità / reparto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22C2C77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Parco serbatoi solventi, colonna distillazione, piperack utilities</w:t>
            </w:r>
          </w:p>
        </w:tc>
      </w:tr>
      <w:tr w:rsidR="00000000" w14:paraId="27D79939" w14:textId="77777777">
        <w:trPr>
          <w:divId w:val="113321233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shd w:val="clear" w:color="auto" w:fill="EDF4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7CFA96B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Data valutazione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4A34D42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28/03/2026</w:t>
            </w:r>
          </w:p>
        </w:tc>
      </w:tr>
      <w:tr w:rsidR="00000000" w14:paraId="07BA5598" w14:textId="77777777">
        <w:trPr>
          <w:divId w:val="113321233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shd w:val="clear" w:color="auto" w:fill="EDF4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51DD4AF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Analista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4750129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Ing. HSE Demo</w:t>
            </w:r>
          </w:p>
        </w:tc>
      </w:tr>
      <w:tr w:rsidR="00000000" w14:paraId="71FE35A4" w14:textId="77777777">
        <w:trPr>
          <w:divId w:val="113321233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shd w:val="clear" w:color="auto" w:fill="EDF4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2725794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Revisione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967473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Rev. 01</w:t>
            </w:r>
          </w:p>
        </w:tc>
      </w:tr>
      <w:tr w:rsidR="00000000" w14:paraId="639810CF" w14:textId="77777777">
        <w:trPr>
          <w:divId w:val="113321233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shd w:val="clear" w:color="auto" w:fill="EDF4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05CDAED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Riferimento interno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54783CC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QSRA-2026-DEMO</w:t>
            </w:r>
          </w:p>
        </w:tc>
      </w:tr>
      <w:tr w:rsidR="00000000" w14:paraId="3EE217DC" w14:textId="77777777">
        <w:trPr>
          <w:divId w:val="113321233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shd w:val="clear" w:color="auto" w:fill="EDF4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BC9BE06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Destinazione elaborato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58BCA70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Rapporto di Sicurezza / SGS-PIR</w:t>
            </w:r>
          </w:p>
        </w:tc>
      </w:tr>
    </w:tbl>
    <w:p w14:paraId="02BA1F5A" w14:textId="77777777" w:rsidR="00000000" w:rsidRDefault="00000000">
      <w:pPr>
        <w:pStyle w:val="NormaleWeb"/>
        <w:divId w:val="1133212332"/>
        <w:rPr>
          <w:rFonts w:ascii="Calibri" w:hAnsi="Calibri" w:cs="Calibri"/>
          <w:color w:val="1F2F4D"/>
        </w:rPr>
      </w:pPr>
      <w:r>
        <w:rPr>
          <w:rStyle w:val="Enfasigrassetto"/>
          <w:rFonts w:ascii="Calibri" w:hAnsi="Calibri" w:cs="Calibri"/>
          <w:color w:val="1F2F4D"/>
        </w:rPr>
        <w:t>Note generali:</w:t>
      </w:r>
      <w:r>
        <w:rPr>
          <w:rFonts w:ascii="Calibri" w:hAnsi="Calibri" w:cs="Calibri"/>
          <w:color w:val="1F2F4D"/>
        </w:rPr>
        <w:t xml:space="preserve"> Dataset demo a scopo di prova della web app. Valori numerici realistici ma esemplificativi, destinati a mostrare il funzionamento globale di screening, KPI, matrici, grafici, salvataggio ed export.</w:t>
      </w:r>
    </w:p>
    <w:p w14:paraId="39517DA9" w14:textId="77777777" w:rsidR="00000000" w:rsidRDefault="00000000">
      <w:pPr>
        <w:pStyle w:val="Titolo2"/>
        <w:divId w:val="1662465631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2. Parametri sismici e hazard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0"/>
        <w:gridCol w:w="6336"/>
      </w:tblGrid>
      <w:tr w:rsidR="00000000" w14:paraId="65313024" w14:textId="77777777">
        <w:trPr>
          <w:divId w:val="1662465631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shd w:val="clear" w:color="auto" w:fill="EDF4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64E9E8F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Località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125761F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Polo Industriale Sud - Comune Alfa</w:t>
            </w:r>
          </w:p>
        </w:tc>
      </w:tr>
      <w:tr w:rsidR="00000000" w14:paraId="1A726373" w14:textId="77777777">
        <w:trPr>
          <w:divId w:val="1662465631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shd w:val="clear" w:color="auto" w:fill="EDF4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B10CDB7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Classificazione sismica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EB0A9E4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Zona 2</w:t>
            </w:r>
          </w:p>
        </w:tc>
      </w:tr>
      <w:tr w:rsidR="00000000" w14:paraId="4729E31C" w14:textId="77777777">
        <w:trPr>
          <w:divId w:val="1662465631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shd w:val="clear" w:color="auto" w:fill="EDF4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15E0187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Classe d’uso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E6D6E35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IV - Stabilimenti con pericolo di incidente rilevante</w:t>
            </w:r>
          </w:p>
        </w:tc>
      </w:tr>
      <w:tr w:rsidR="00000000" w14:paraId="673D6703" w14:textId="77777777">
        <w:trPr>
          <w:divId w:val="1662465631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shd w:val="clear" w:color="auto" w:fill="EDF4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CFA8CC1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Vita nominale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2F68AF4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50 anni</w:t>
            </w:r>
          </w:p>
        </w:tc>
      </w:tr>
      <w:tr w:rsidR="00000000" w14:paraId="0C756C9F" w14:textId="77777777">
        <w:trPr>
          <w:divId w:val="1662465631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shd w:val="clear" w:color="auto" w:fill="EDF4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9A5DD05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lastRenderedPageBreak/>
              <w:t>IM type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B1CD71E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PGA</w:t>
            </w:r>
          </w:p>
        </w:tc>
      </w:tr>
      <w:tr w:rsidR="00000000" w14:paraId="5E596307" w14:textId="77777777">
        <w:trPr>
          <w:divId w:val="1662465631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shd w:val="clear" w:color="auto" w:fill="EDF4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FD4D79F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Indice IP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360A9A7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3</w:t>
            </w:r>
          </w:p>
        </w:tc>
      </w:tr>
      <w:tr w:rsidR="00000000" w14:paraId="501900EB" w14:textId="77777777">
        <w:trPr>
          <w:divId w:val="1662465631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shd w:val="clear" w:color="auto" w:fill="EDF4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638EB05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IMref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09CF2BC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0,28 g</w:t>
            </w:r>
          </w:p>
        </w:tc>
      </w:tr>
      <w:tr w:rsidR="00000000" w14:paraId="442ADB98" w14:textId="77777777">
        <w:trPr>
          <w:divId w:val="1662465631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shd w:val="clear" w:color="auto" w:fill="EDF4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A45237E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Hazard 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96F76BB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1.20 ×10^-5</w:t>
            </w:r>
          </w:p>
        </w:tc>
      </w:tr>
      <w:tr w:rsidR="00000000" w14:paraId="5062BB0F" w14:textId="77777777">
        <w:trPr>
          <w:divId w:val="1662465631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shd w:val="clear" w:color="auto" w:fill="EDF4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B373335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Hazard k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B43BB0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3,20</w:t>
            </w:r>
          </w:p>
        </w:tc>
      </w:tr>
      <w:tr w:rsidR="00000000" w14:paraId="10B7710A" w14:textId="77777777">
        <w:trPr>
          <w:divId w:val="1662465631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shd w:val="clear" w:color="auto" w:fill="EDF4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6AF0C68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Contesto confronto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47BE971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Stesso sito / stesso IP</w:t>
            </w:r>
          </w:p>
        </w:tc>
      </w:tr>
    </w:tbl>
    <w:p w14:paraId="68785011" w14:textId="77777777" w:rsidR="00000000" w:rsidRDefault="00000000">
      <w:pPr>
        <w:pStyle w:val="NormaleWeb"/>
        <w:divId w:val="1662465631"/>
        <w:rPr>
          <w:rFonts w:ascii="Calibri" w:hAnsi="Calibri" w:cs="Calibri"/>
          <w:color w:val="1F2F4D"/>
        </w:rPr>
      </w:pPr>
      <w:r>
        <w:rPr>
          <w:rStyle w:val="Enfasigrassetto"/>
          <w:rFonts w:ascii="Calibri" w:hAnsi="Calibri" w:cs="Calibri"/>
          <w:color w:val="1F2F4D"/>
        </w:rPr>
        <w:t>Note hazard:</w:t>
      </w:r>
      <w:r>
        <w:rPr>
          <w:rFonts w:ascii="Calibri" w:hAnsi="Calibri" w:cs="Calibri"/>
          <w:color w:val="1F2F4D"/>
        </w:rPr>
        <w:t xml:space="preserve"> Linearizzazione locale della hazard curve per uso operativo; parametri demo coerenti con screening HSE su sito ad elevata rilevanza impiantistica.</w:t>
      </w:r>
    </w:p>
    <w:p w14:paraId="6AA4884C" w14:textId="77777777" w:rsidR="00000000" w:rsidRDefault="00000000">
      <w:pPr>
        <w:pStyle w:val="Titolo2"/>
        <w:divId w:val="214272323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3. KPI principali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4"/>
        <w:gridCol w:w="5042"/>
      </w:tblGrid>
      <w:tr w:rsidR="00000000" w14:paraId="019F1B28" w14:textId="77777777">
        <w:trPr>
          <w:divId w:val="2142723230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50DA992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Numero asset analizzati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82F1756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5</w:t>
            </w:r>
          </w:p>
        </w:tc>
      </w:tr>
      <w:tr w:rsidR="00000000" w14:paraId="05A0FFCB" w14:textId="77777777">
        <w:trPr>
          <w:divId w:val="2142723230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E189FF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GRI massimo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A77EBE2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25</w:t>
            </w:r>
          </w:p>
        </w:tc>
      </w:tr>
      <w:tr w:rsidR="00000000" w14:paraId="05C527A8" w14:textId="77777777">
        <w:trPr>
          <w:divId w:val="2142723230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C81B530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Classe finale massima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710ACE1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Estremo</w:t>
            </w:r>
          </w:p>
        </w:tc>
      </w:tr>
      <w:tr w:rsidR="00000000" w14:paraId="025B2622" w14:textId="77777777">
        <w:trPr>
          <w:divId w:val="2142723230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78F0B6E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Numero criticità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5B66C07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5</w:t>
            </w:r>
          </w:p>
        </w:tc>
      </w:tr>
      <w:tr w:rsidR="00000000" w14:paraId="287F38A8" w14:textId="77777777">
        <w:trPr>
          <w:divId w:val="2142723230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DD294CE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Numero misure/azioni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2A3945C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20</w:t>
            </w:r>
          </w:p>
        </w:tc>
      </w:tr>
      <w:tr w:rsidR="00000000" w14:paraId="6624B9C9" w14:textId="77777777">
        <w:trPr>
          <w:divId w:val="2142723230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3AD5774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Stato valutazione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C00CF7D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Completata con criticità alte</w:t>
            </w:r>
          </w:p>
        </w:tc>
      </w:tr>
      <w:tr w:rsidR="00000000" w14:paraId="218EADB8" w14:textId="77777777">
        <w:trPr>
          <w:divId w:val="2142723230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9F849E2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Media λDS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537323A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0,003</w:t>
            </w:r>
          </w:p>
        </w:tc>
      </w:tr>
    </w:tbl>
    <w:p w14:paraId="79AB2CBA" w14:textId="77777777" w:rsidR="00000000" w:rsidRDefault="00000000">
      <w:pPr>
        <w:pStyle w:val="NormaleWeb"/>
        <w:divId w:val="2142723230"/>
        <w:rPr>
          <w:rFonts w:ascii="Calibri" w:hAnsi="Calibri" w:cs="Calibri"/>
          <w:color w:val="1F2F4D"/>
        </w:rPr>
      </w:pPr>
      <w:r>
        <w:rPr>
          <w:rStyle w:val="Enfasigrassetto"/>
          <w:rFonts w:ascii="Calibri" w:hAnsi="Calibri" w:cs="Calibri"/>
          <w:color w:val="1F2F4D"/>
        </w:rPr>
        <w:t>Scenario dominante:</w:t>
      </w:r>
      <w:r>
        <w:rPr>
          <w:rFonts w:ascii="Calibri" w:hAnsi="Calibri" w:cs="Calibri"/>
          <w:color w:val="1F2F4D"/>
        </w:rPr>
        <w:t xml:space="preserve"> Serbatoio TK-201 benzene (TK-201) risulta l’asset dominante con GRI 25, classe finale Estremo, scenario LOC3 ed effetto prevalente Incendio.</w:t>
      </w:r>
    </w:p>
    <w:p w14:paraId="36DFE750" w14:textId="77777777" w:rsidR="00000000" w:rsidRDefault="00000000">
      <w:pPr>
        <w:pStyle w:val="NormaleWeb"/>
        <w:divId w:val="2142723230"/>
        <w:rPr>
          <w:rFonts w:ascii="Calibri" w:hAnsi="Calibri" w:cs="Calibri"/>
          <w:color w:val="1F2F4D"/>
        </w:rPr>
      </w:pPr>
      <w:r>
        <w:rPr>
          <w:rStyle w:val="Enfasigrassetto"/>
          <w:rFonts w:ascii="Calibri" w:hAnsi="Calibri" w:cs="Calibri"/>
          <w:color w:val="1F2F4D"/>
        </w:rPr>
        <w:t>Narrativa sintetica:</w:t>
      </w:r>
      <w:r>
        <w:rPr>
          <w:rFonts w:ascii="Calibri" w:hAnsi="Calibri" w:cs="Calibri"/>
          <w:color w:val="1F2F4D"/>
        </w:rPr>
        <w:t xml:space="preserve"> Il dataset comprende 5 asset e mostra un profilo massimo estremo associato a Serbatoio TK-201 benzene. Lo screening preliminare evidenzia una combinazione IV=4, IE=4, IP=3 con IR=48 e classe alto. La frequenza annua di superamento del danno è stimata pari a 0,006 1/anno, corrispondente a PI=5; combinata con CI=5 produce GRI=25. Si raccomanda di verificare coerenza dei parametri di fragilità, adeguatezza dei sistemi di isolamento/rilascio e aggiornamento dei presidi SGS-PIR/PEI.</w:t>
      </w:r>
    </w:p>
    <w:p w14:paraId="46B9B8C3" w14:textId="77777777" w:rsidR="00000000" w:rsidRDefault="00000000">
      <w:pPr>
        <w:pStyle w:val="Titolo2"/>
        <w:divId w:val="1621304888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4. Risultati apparecchiature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7"/>
        <w:gridCol w:w="388"/>
        <w:gridCol w:w="1657"/>
        <w:gridCol w:w="1085"/>
        <w:gridCol w:w="418"/>
        <w:gridCol w:w="241"/>
        <w:gridCol w:w="226"/>
        <w:gridCol w:w="232"/>
        <w:gridCol w:w="262"/>
        <w:gridCol w:w="793"/>
        <w:gridCol w:w="652"/>
        <w:gridCol w:w="549"/>
        <w:gridCol w:w="232"/>
        <w:gridCol w:w="232"/>
        <w:gridCol w:w="326"/>
        <w:gridCol w:w="816"/>
      </w:tblGrid>
      <w:tr w:rsidR="00000000" w14:paraId="63AD5840" w14:textId="77777777">
        <w:trPr>
          <w:divId w:val="1621304888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4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F1DC5E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  <w:t>Asset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4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9FDF96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  <w:t>Tag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4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51445F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  <w:t>Categoria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4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B8EA45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  <w:t>Sostanza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4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003947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  <w:t>LOC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4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A214F6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  <w:t>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4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0AF5BD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  <w:t>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4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821B5D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  <w:t>IP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4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60B879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  <w:t>IR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4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91ACD5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  <w:t>Classe screening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4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A04E09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  <w:t>P(danno)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4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DE5CE7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  <w:t>λDS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4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9ED527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  <w:t>PI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4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63DFDF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  <w:t>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4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902DAB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  <w:t>GRI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4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34A511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4"/>
                <w:szCs w:val="14"/>
              </w:rPr>
              <w:t>Classe finale</w:t>
            </w:r>
          </w:p>
        </w:tc>
      </w:tr>
      <w:tr w:rsidR="00000000" w14:paraId="0D1B24AB" w14:textId="77777777">
        <w:trPr>
          <w:divId w:val="162130488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1F73FF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Serbatoio TK-201 benzene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B1A640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TK-201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43A9F6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Grande serbatoio cilindrico non ancorato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DC0B80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Benzene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1EBC5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LOC3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AE95DF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B8536B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650DAE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CAB5F0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B2770D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Alto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8E16C6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83,4%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0C76BB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0,006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33C4BE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0F7A93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E332B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5DC354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Estremo</w:t>
            </w:r>
          </w:p>
        </w:tc>
      </w:tr>
      <w:tr w:rsidR="00000000" w14:paraId="1F4A1215" w14:textId="77777777">
        <w:trPr>
          <w:divId w:val="162130488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5A5B9B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Colonna distillazione C-101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793EF2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C-101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70AA80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Colonna / reattore / apparecchiatura snella verticale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49A925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Miscela solventi aromatici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EAD692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LOC3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3668B2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5B3D58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4D3A26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BCB432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59CDB0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Alto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34A583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86,3%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BE84DC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0,007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FB9F79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21BD98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736BDB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FD58F1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Estremo</w:t>
            </w:r>
          </w:p>
        </w:tc>
      </w:tr>
      <w:tr w:rsidR="00000000" w14:paraId="58185179" w14:textId="77777777">
        <w:trPr>
          <w:divId w:val="162130488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A48545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Piperack linee ammoniaca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999981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PR-07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A2EA5E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Tubazione / linea critica / manifold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05DF67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Ammoniaca anidra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5868A8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LOC2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B3C0C8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F7AAFF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67D9AB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165794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2A9651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Alto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D57B32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67,8%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E3D182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0,003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E91F60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6573B9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1575D8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56C033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Estremo</w:t>
            </w:r>
          </w:p>
        </w:tc>
      </w:tr>
      <w:tr w:rsidR="00000000" w14:paraId="25EF8885" w14:textId="77777777">
        <w:trPr>
          <w:divId w:val="162130488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FA6CD8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Compressore GPL K-03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2E64CD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K-03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DDC725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Compressore / macchina su supporti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2D9289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GPL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5B5F2C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LOC2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5EE6CF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C98C83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2033FD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7745CE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BDC1F5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Assente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C6B0D7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11,7%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7B03F8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3.48 ×10^-4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540F19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D3E8EE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9BCACE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BFFA3A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Significativo</w:t>
            </w:r>
          </w:p>
        </w:tc>
      </w:tr>
      <w:tr w:rsidR="00000000" w14:paraId="386FD485" w14:textId="77777777">
        <w:trPr>
          <w:divId w:val="162130488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551D1F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Serbatoio orizzontale solvente T-33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4B210D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T-33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3FD40E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Serbatoio orizzontale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B6D8E0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Solvente infiammabile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AB07A2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LOC3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509ECD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E90D38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ACE2A7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7FFB2E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D3FDBD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Basso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B9F009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46,3%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3A61D6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0,001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C81D0B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0F01B8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C1B7B4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B12F49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1F2F4D"/>
                <w:sz w:val="14"/>
                <w:szCs w:val="14"/>
              </w:rPr>
              <w:t>Estremo</w:t>
            </w:r>
          </w:p>
        </w:tc>
      </w:tr>
    </w:tbl>
    <w:p w14:paraId="3538B35B" w14:textId="77777777" w:rsidR="00000000" w:rsidRDefault="00000000">
      <w:pPr>
        <w:pStyle w:val="Titolo2"/>
        <w:divId w:val="1568999718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5. Matrici</w:t>
      </w:r>
    </w:p>
    <w:p w14:paraId="5B457702" w14:textId="77777777" w:rsidR="00000000" w:rsidRDefault="00000000">
      <w:pPr>
        <w:pStyle w:val="Titolo3"/>
        <w:divId w:val="1568999718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5.1 Matrice screening IV × IE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2"/>
        <w:gridCol w:w="1830"/>
        <w:gridCol w:w="2380"/>
        <w:gridCol w:w="2160"/>
        <w:gridCol w:w="2114"/>
      </w:tblGrid>
      <w:tr w:rsidR="00000000" w14:paraId="2D54AF24" w14:textId="77777777">
        <w:trPr>
          <w:divId w:val="1568999718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B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2F37679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IV \ 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B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114C545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B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4E09C38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B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7D5D401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B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1330507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4</w:t>
            </w:r>
          </w:p>
        </w:tc>
      </w:tr>
      <w:tr w:rsidR="00000000" w14:paraId="6917FFD3" w14:textId="77777777">
        <w:trPr>
          <w:divId w:val="15689997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B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4CFCA80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F7D8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29862D8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Limitato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score 4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4B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B14EA36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Basso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score 8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0D5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C69E91E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Alto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score 12 • n=1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0D5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620F305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Alto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score 16 • n=1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</w:tr>
      <w:tr w:rsidR="00000000" w14:paraId="3716FBE3" w14:textId="77777777">
        <w:trPr>
          <w:divId w:val="15689997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B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8BE28FA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F7D8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236EB2B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Limitato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score 3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4B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FE89D1F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Basso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score 6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0B3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9E0998E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Medio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score 9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0D5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86FE0FC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Alto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score 12 • n=1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</w:tr>
      <w:tr w:rsidR="00000000" w14:paraId="25C233FA" w14:textId="77777777">
        <w:trPr>
          <w:divId w:val="15689997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B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7CA133A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F6E8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E5050CA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Assente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score 2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F7D8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A38427B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Limitato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score 4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4B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B5B2E24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Basso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score 6 • n=1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4B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4060386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Basso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score 8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</w:tr>
      <w:tr w:rsidR="00000000" w14:paraId="3C74BD5A" w14:textId="77777777">
        <w:trPr>
          <w:divId w:val="15689997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B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650C0E2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F6E8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3046763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Assente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score 1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F6E8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AFEE6CD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Assente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score 2 • n=1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F7D8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FE93C42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Limitato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score 3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F7D8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1B9B580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Limitato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score 4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</w:tr>
    </w:tbl>
    <w:p w14:paraId="6590F4F8" w14:textId="77777777" w:rsidR="00000000" w:rsidRDefault="00000000">
      <w:pPr>
        <w:pStyle w:val="Titolo3"/>
        <w:divId w:val="1568999718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5.2 Matrice decisionale PI × CI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2"/>
        <w:gridCol w:w="1456"/>
        <w:gridCol w:w="1545"/>
        <w:gridCol w:w="2071"/>
        <w:gridCol w:w="1751"/>
        <w:gridCol w:w="1751"/>
      </w:tblGrid>
      <w:tr w:rsidR="00000000" w14:paraId="4B8E2C7C" w14:textId="77777777">
        <w:trPr>
          <w:divId w:val="1568999718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B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512AEAE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PI \ 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B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8C401DC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B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28814AF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B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98E6D84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B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80C4907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B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A5A76DA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5</w:t>
            </w:r>
          </w:p>
        </w:tc>
      </w:tr>
      <w:tr w:rsidR="00000000" w14:paraId="7E2013DD" w14:textId="77777777">
        <w:trPr>
          <w:divId w:val="15689997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B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84D8018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F7D8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037D38A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5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Basso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4B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8BB1F2A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10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Significativo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0B3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DA7536A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15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Alto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BDD2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737FC73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20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Estremo • n=3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BDD2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9DC93D4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25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Estremo • n=1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</w:tr>
      <w:tr w:rsidR="00000000" w14:paraId="31BE90A4" w14:textId="77777777">
        <w:trPr>
          <w:divId w:val="15689997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B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FA6FC0C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F6E8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4202E74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4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Molto basso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F7D8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1A2E6AA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8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Basso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4B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177EF62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12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Significativo • n=1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0B3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1276476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16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Alto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BDD2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F45BF08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20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Estremo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</w:tr>
      <w:tr w:rsidR="00000000" w14:paraId="64DAE13B" w14:textId="77777777">
        <w:trPr>
          <w:divId w:val="15689997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B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6BFAB6E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F6E8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220A295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3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Molto basso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F7D8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909FF47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6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Basso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4B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F9315C4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9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Significativo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4B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8B6EB47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12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Significativo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0B3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C6CCC00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15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Alto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</w:tr>
      <w:tr w:rsidR="00000000" w14:paraId="6A6CEF56" w14:textId="77777777">
        <w:trPr>
          <w:divId w:val="15689997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B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BFF8E58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F6E8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6048DC0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2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Molto basso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F6E8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7BED90B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4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Molto basso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F7D8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F9929C0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6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Basso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F7D8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1E391C6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8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Basso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4BF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25C4FC4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10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Significativo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</w:tr>
      <w:tr w:rsidR="00000000" w14:paraId="67897F71" w14:textId="77777777">
        <w:trPr>
          <w:divId w:val="15689997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B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026ADFA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F6E8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6ED33B4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1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Molto basso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F6E8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4E538D0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2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Molto basso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F6E8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8C154CA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3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Molto basso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F6E8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BDE78F5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4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Molto basso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F7D8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0D35C52" w14:textId="77777777" w:rsidR="00000000" w:rsidRDefault="00000000">
            <w:pPr>
              <w:spacing w:before="120" w:after="210"/>
              <w:jc w:val="center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5 </w:t>
            </w:r>
            <w:r>
              <w:rPr>
                <w:rStyle w:val="matrix-count1"/>
                <w:rFonts w:ascii="Calibri" w:eastAsia="Times New Roman" w:hAnsi="Calibri" w:cs="Calibri"/>
                <w:color w:val="1F2F4D"/>
              </w:rPr>
              <w:t>Basso</w:t>
            </w: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 xml:space="preserve"> </w:t>
            </w:r>
          </w:p>
        </w:tc>
      </w:tr>
    </w:tbl>
    <w:p w14:paraId="20EB0119" w14:textId="77777777" w:rsidR="00000000" w:rsidRDefault="00000000">
      <w:pPr>
        <w:pStyle w:val="Titolo2"/>
        <w:divId w:val="652484628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6. Grafici</w:t>
      </w:r>
    </w:p>
    <w:p w14:paraId="7295D6E6" w14:textId="77777777" w:rsidR="00000000" w:rsidRDefault="00000000">
      <w:pPr>
        <w:pStyle w:val="Titolo3"/>
        <w:jc w:val="center"/>
        <w:divId w:val="2091543529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GRI per apparecchiatura</w:t>
      </w:r>
    </w:p>
    <w:p w14:paraId="796225F2" w14:textId="77777777" w:rsidR="00000000" w:rsidRDefault="00000000">
      <w:pPr>
        <w:jc w:val="center"/>
        <w:divId w:val="2091543529"/>
        <w:rPr>
          <w:rFonts w:ascii="Calibri" w:eastAsia="Times New Roman" w:hAnsi="Calibri" w:cs="Calibri"/>
          <w:color w:val="1F2F4D"/>
        </w:rPr>
      </w:pPr>
      <w:r>
        <w:rPr>
          <w:rFonts w:ascii="Calibri" w:eastAsia="Times New Roman" w:hAnsi="Calibri" w:cs="Calibri"/>
          <w:noProof/>
          <w:color w:val="1F2F4D"/>
        </w:rPr>
        <w:drawing>
          <wp:inline distT="0" distB="0" distL="0" distR="0" wp14:anchorId="143B0A78" wp14:editId="380D55F1">
            <wp:extent cx="4328160" cy="838200"/>
            <wp:effectExtent l="0" t="0" r="0" b="0"/>
            <wp:docPr id="1" name="Immagine 1" descr="Grafico barre G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fico barre GR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16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6A070" w14:textId="77777777" w:rsidR="00000000" w:rsidRDefault="00000000">
      <w:pPr>
        <w:pStyle w:val="Titolo3"/>
        <w:jc w:val="center"/>
        <w:divId w:val="1775318112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Distribuzione classi finali</w:t>
      </w:r>
    </w:p>
    <w:p w14:paraId="2755B557" w14:textId="77777777" w:rsidR="00000000" w:rsidRDefault="00000000">
      <w:pPr>
        <w:jc w:val="center"/>
        <w:divId w:val="1775318112"/>
        <w:rPr>
          <w:rFonts w:ascii="Calibri" w:eastAsia="Times New Roman" w:hAnsi="Calibri" w:cs="Calibri"/>
          <w:color w:val="1F2F4D"/>
        </w:rPr>
      </w:pPr>
      <w:r>
        <w:rPr>
          <w:rFonts w:ascii="Calibri" w:eastAsia="Times New Roman" w:hAnsi="Calibri" w:cs="Calibri"/>
          <w:noProof/>
          <w:color w:val="1F2F4D"/>
        </w:rPr>
        <w:drawing>
          <wp:inline distT="0" distB="0" distL="0" distR="0" wp14:anchorId="72A6C8CD" wp14:editId="037260E7">
            <wp:extent cx="4328160" cy="838200"/>
            <wp:effectExtent l="0" t="0" r="0" b="0"/>
            <wp:docPr id="2" name="Immagine 2" descr="Grafico doughnut classi fina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fico doughnut classi final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16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A9D7B" w14:textId="77777777" w:rsidR="00000000" w:rsidRDefault="00000000">
      <w:pPr>
        <w:pStyle w:val="Titolo3"/>
        <w:jc w:val="center"/>
        <w:divId w:val="1826703495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Profilo medio dei fattori</w:t>
      </w:r>
    </w:p>
    <w:p w14:paraId="7E18271C" w14:textId="77777777" w:rsidR="00000000" w:rsidRDefault="00000000">
      <w:pPr>
        <w:jc w:val="center"/>
        <w:divId w:val="1826703495"/>
        <w:rPr>
          <w:rFonts w:ascii="Calibri" w:eastAsia="Times New Roman" w:hAnsi="Calibri" w:cs="Calibri"/>
          <w:color w:val="1F2F4D"/>
        </w:rPr>
      </w:pPr>
      <w:r>
        <w:rPr>
          <w:rFonts w:ascii="Calibri" w:eastAsia="Times New Roman" w:hAnsi="Calibri" w:cs="Calibri"/>
          <w:noProof/>
          <w:color w:val="1F2F4D"/>
        </w:rPr>
        <w:drawing>
          <wp:inline distT="0" distB="0" distL="0" distR="0" wp14:anchorId="55FC3E48" wp14:editId="48EE2B1E">
            <wp:extent cx="4328160" cy="838200"/>
            <wp:effectExtent l="0" t="0" r="0" b="0"/>
            <wp:docPr id="3" name="Immagine 3" descr="Grafico rad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afico rada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16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15C8C" w14:textId="77777777" w:rsidR="00000000" w:rsidRDefault="00000000">
      <w:pPr>
        <w:pStyle w:val="Titolo3"/>
        <w:jc w:val="center"/>
        <w:divId w:val="257174108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Curva di fragilità asset selezionato</w:t>
      </w:r>
    </w:p>
    <w:p w14:paraId="6C685EF8" w14:textId="77777777" w:rsidR="00000000" w:rsidRDefault="00000000">
      <w:pPr>
        <w:jc w:val="center"/>
        <w:divId w:val="257174108"/>
        <w:rPr>
          <w:rFonts w:ascii="Calibri" w:eastAsia="Times New Roman" w:hAnsi="Calibri" w:cs="Calibri"/>
          <w:color w:val="1F2F4D"/>
        </w:rPr>
      </w:pPr>
      <w:r>
        <w:rPr>
          <w:rFonts w:ascii="Calibri" w:eastAsia="Times New Roman" w:hAnsi="Calibri" w:cs="Calibri"/>
          <w:noProof/>
          <w:color w:val="1F2F4D"/>
        </w:rPr>
        <w:drawing>
          <wp:inline distT="0" distB="0" distL="0" distR="0" wp14:anchorId="73F90B5E" wp14:editId="3435FD73">
            <wp:extent cx="4328160" cy="838200"/>
            <wp:effectExtent l="0" t="0" r="0" b="0"/>
            <wp:docPr id="4" name="Immagine 4" descr="Grafico fragilit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rafico fragilità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16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03086" w14:textId="77777777" w:rsidR="00000000" w:rsidRDefault="00000000">
      <w:pPr>
        <w:pStyle w:val="small"/>
        <w:spacing w:before="0" w:beforeAutospacing="0" w:after="150" w:afterAutospacing="0"/>
        <w:divId w:val="652484628"/>
        <w:rPr>
          <w:rFonts w:ascii="Calibri" w:hAnsi="Calibri" w:cs="Calibri"/>
        </w:rPr>
      </w:pPr>
      <w:r>
        <w:rPr>
          <w:rFonts w:ascii="Calibri" w:hAnsi="Calibri" w:cs="Calibri"/>
        </w:rPr>
        <w:t>Asset selezionato per il grafico di dettaglio: Serbatoio TK-201 benzene</w:t>
      </w:r>
    </w:p>
    <w:p w14:paraId="37227C31" w14:textId="77777777" w:rsidR="00000000" w:rsidRDefault="00000000">
      <w:pPr>
        <w:pStyle w:val="Titolo2"/>
        <w:divId w:val="471948942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7. Piano misure / azioni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3"/>
        <w:gridCol w:w="2578"/>
        <w:gridCol w:w="741"/>
        <w:gridCol w:w="1577"/>
        <w:gridCol w:w="1049"/>
        <w:gridCol w:w="995"/>
        <w:gridCol w:w="1553"/>
      </w:tblGrid>
      <w:tr w:rsidR="00000000" w14:paraId="0C6892F0" w14:textId="77777777">
        <w:trPr>
          <w:divId w:val="471948942"/>
          <w:tblHeader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shd w:val="clear" w:color="auto" w:fill="EDF4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10332DA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Tipo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shd w:val="clear" w:color="auto" w:fill="EDF4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2C2A0E0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Azione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shd w:val="clear" w:color="auto" w:fill="EDF4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FA27662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Priorità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shd w:val="clear" w:color="auto" w:fill="EDF4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6A4729B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Responsabile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shd w:val="clear" w:color="auto" w:fill="EDF4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DCD7874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Scadenza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shd w:val="clear" w:color="auto" w:fill="EDF4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E92D34E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Stato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shd w:val="clear" w:color="auto" w:fill="EDF4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1C13706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2F4D"/>
                <w:sz w:val="18"/>
                <w:szCs w:val="18"/>
              </w:rPr>
              <w:t>Origine</w:t>
            </w:r>
          </w:p>
        </w:tc>
      </w:tr>
      <w:tr w:rsidR="00000000" w14:paraId="4F4D5CBB" w14:textId="77777777">
        <w:trPr>
          <w:divId w:val="47194894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2D9A5AE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Generata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2B5C94C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Verifica strutturale / impiantistica mirata su Serbatoio TK-201 benzene (TK-201)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2F82E37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Alta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11EA5D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Ingegneria / Integrità meccanica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858F1B0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—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73CC919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Da pianificare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1FBADF5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Serbatoio TK-201 benzene (TK-201)</w:t>
            </w:r>
          </w:p>
        </w:tc>
      </w:tr>
      <w:tr w:rsidR="00000000" w14:paraId="6BA53E63" w14:textId="77777777">
        <w:trPr>
          <w:divId w:val="47194894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5EB4BC5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Generata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EC6BC9B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Revisione sistemi di intercettazione e flessibilità connessioni per Serbatoio TK-201 benzene (TK-201)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93E3955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Alta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32A6677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Processo / Manutenzione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CA9D558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—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A6A834F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Da pianificare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33C4EBB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Serbatoio TK-201 benzene (TK-201)</w:t>
            </w:r>
          </w:p>
        </w:tc>
      </w:tr>
      <w:tr w:rsidR="00000000" w14:paraId="38624AE7" w14:textId="77777777">
        <w:trPr>
          <w:divId w:val="47194894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574FE1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Generata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9A04493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Valutare sensoristica SMART e monitoraggio continuo per Serbatoio TK-201 benzene (TK-201)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473B36F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Alta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5B7A914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HSE / Strumentazione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1DE3291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—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446B767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Da pianificare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F68BEA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Serbatoio TK-201 benzene (TK-201)</w:t>
            </w:r>
          </w:p>
        </w:tc>
      </w:tr>
      <w:tr w:rsidR="00000000" w14:paraId="32D0B378" w14:textId="77777777">
        <w:trPr>
          <w:divId w:val="47194894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DE050EB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Generata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18D0869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Aggiornare scenari PEI/SGS-PIR collegati a Serbatoio TK-201 benzene (TK-201)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A887118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Alta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F679477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HSE / Gestione emergenze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3B75E8B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—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CB2AEA5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Da pianificare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DE2D9F6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Serbatoio TK-201 benzene (TK-201)</w:t>
            </w:r>
          </w:p>
        </w:tc>
      </w:tr>
      <w:tr w:rsidR="00000000" w14:paraId="2C22B4BE" w14:textId="77777777">
        <w:trPr>
          <w:divId w:val="47194894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B81DB3D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Generata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FC46212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Verifica strutturale / impiantistica mirata su Colonna distillazione C-101 (C-101)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BF2F4C6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Alta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2A53E86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Ingegneria / Integrità meccanica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85C786B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—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845D43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Da pianificare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6FABC9E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Colonna distillazione C-101 (C-101)</w:t>
            </w:r>
          </w:p>
        </w:tc>
      </w:tr>
      <w:tr w:rsidR="00000000" w14:paraId="29B0BE26" w14:textId="77777777">
        <w:trPr>
          <w:divId w:val="47194894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A7CB178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Generata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CB11745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Revisione sistemi di intercettazione e flessibilità connessioni per Colonna distillazione C-101 (C-101)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0D68145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Alta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029E751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Processo / Manutenzione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29BF18E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—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38EBA56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Da pianificare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58F68B5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Colonna distillazione C-101 (C-101)</w:t>
            </w:r>
          </w:p>
        </w:tc>
      </w:tr>
      <w:tr w:rsidR="00000000" w14:paraId="6719BD4C" w14:textId="77777777">
        <w:trPr>
          <w:divId w:val="47194894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C7B7BD6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Generata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84ABE40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Valutare sensoristica SMART e monitoraggio continuo per Colonna distillazione C-101 (C-101)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715A51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Alta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5A2B0B0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HSE / Strumentazione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D6132EB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—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4EB392F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Da pianificare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EFDBBC7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Colonna distillazione C-101 (C-101)</w:t>
            </w:r>
          </w:p>
        </w:tc>
      </w:tr>
      <w:tr w:rsidR="00000000" w14:paraId="1D65058B" w14:textId="77777777">
        <w:trPr>
          <w:divId w:val="47194894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17FFE20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Generata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644F296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Aggiornare scenari PEI/SGS-PIR collegati a Colonna distillazione C-101 (C-101)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E1B199E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Alta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0B293EC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HSE / Gestione emergenze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DE19030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—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16557E8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Da pianificare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7EA2A48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Colonna distillazione C-101 (C-101)</w:t>
            </w:r>
          </w:p>
        </w:tc>
      </w:tr>
      <w:tr w:rsidR="00000000" w14:paraId="73FB7AAE" w14:textId="77777777">
        <w:trPr>
          <w:divId w:val="47194894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9262DD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Generata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5E7890F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Verifica strutturale / impiantistica mirata su Piperack linee ammoniaca (PR-07)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E81D6F2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Alta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61FDB3B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Ingegneria / Integrità meccanica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2A2DB1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—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027AF2D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Da pianificare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D781CF4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Piperack linee ammoniaca (PR-07)</w:t>
            </w:r>
          </w:p>
        </w:tc>
      </w:tr>
      <w:tr w:rsidR="00000000" w14:paraId="79D83502" w14:textId="77777777">
        <w:trPr>
          <w:divId w:val="47194894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19E4E57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Generata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1300D17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Revisione sistemi di intercettazione e flessibilità connessioni per Piperack linee ammoniaca (PR-07)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B72E8A6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Alta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253F21C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Processo / Manutenzione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97BFE4B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—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4D74482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Da pianificare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16C1116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Piperack linee ammoniaca (PR-07)</w:t>
            </w:r>
          </w:p>
        </w:tc>
      </w:tr>
      <w:tr w:rsidR="00000000" w14:paraId="140093C1" w14:textId="77777777">
        <w:trPr>
          <w:divId w:val="47194894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6767A85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Generata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A4736A1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Valutare sensoristica SMART e monitoraggio continuo per Piperack linee ammoniaca (PR-07)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9079122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Alta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257AC9B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HSE / Strumentazione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857553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—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2F2C1C6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Da pianificare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600B3D9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Piperack linee ammoniaca (PR-07)</w:t>
            </w:r>
          </w:p>
        </w:tc>
      </w:tr>
      <w:tr w:rsidR="00000000" w14:paraId="39989A4A" w14:textId="77777777">
        <w:trPr>
          <w:divId w:val="47194894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53119C5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Generata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7B67F6B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Aggiornare scenari PEI/SGS-PIR collegati a Piperack linee ammoniaca (PR-07)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F431898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Alta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C134846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HSE / Gestione emergenze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AC88317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—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959E525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Da pianificare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8B88379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Piperack linee ammoniaca (PR-07)</w:t>
            </w:r>
          </w:p>
        </w:tc>
      </w:tr>
      <w:tr w:rsidR="00000000" w14:paraId="7A6CADAA" w14:textId="77777777">
        <w:trPr>
          <w:divId w:val="47194894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E63E0DA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Generata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B5C81D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Revisione sistemi di intercettazione e flessibilità connessioni per Compressore GPL K-03 (K-03)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0CACDDE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Media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F485C24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Processo / Manutenzione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603CE83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—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B163927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Da pianificare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E9B648A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Compressore GPL K-03 (K-03)</w:t>
            </w:r>
          </w:p>
        </w:tc>
      </w:tr>
      <w:tr w:rsidR="00000000" w14:paraId="166974F7" w14:textId="77777777">
        <w:trPr>
          <w:divId w:val="47194894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64F410E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Generata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97F77F3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Valutare sensoristica SMART e monitoraggio continuo per Compressore GPL K-03 (K-03)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A297227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Media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30D29F2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HSE / Strumentazione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B0EF259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—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73F41C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Da pianificare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6689D5B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Compressore GPL K-03 (K-03)</w:t>
            </w:r>
          </w:p>
        </w:tc>
      </w:tr>
      <w:tr w:rsidR="00000000" w14:paraId="77A17BF7" w14:textId="77777777">
        <w:trPr>
          <w:divId w:val="47194894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B8F774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Generata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0FA012B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Aggiornare scenari PEI/SGS-PIR collegati a Compressore GPL K-03 (K-03)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20BBB44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Media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1C0814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HSE / Gestione emergenze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96EC228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—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91B38AB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Da pianificare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459E48B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Compressore GPL K-03 (K-03)</w:t>
            </w:r>
          </w:p>
        </w:tc>
      </w:tr>
      <w:tr w:rsidR="00000000" w14:paraId="0EB8BFDA" w14:textId="77777777">
        <w:trPr>
          <w:divId w:val="47194894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91D99E9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Generata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A637C4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Revisione sistemi di intercettazione e flessibilità connessioni per Serbatoio orizzontale solvente T-33 (T-33)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6B635EB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Alta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73F3870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Processo / Manutenzione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F64DFC8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—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BE9ACE1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Da pianificare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E9A40E7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Serbatoio orizzontale solvente T-33 (T-33)</w:t>
            </w:r>
          </w:p>
        </w:tc>
      </w:tr>
      <w:tr w:rsidR="00000000" w14:paraId="32E4F799" w14:textId="77777777">
        <w:trPr>
          <w:divId w:val="47194894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0A4D12E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Generata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DF9BA63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Valutare sensoristica SMART e monitoraggio continuo per Serbatoio orizzontale solvente T-33 (T-33)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0703849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Alta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C2C3DEF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HSE / Strumentazione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850C580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—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DB5AAE0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Da pianificare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D691204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Serbatoio orizzontale solvente T-33 (T-33)</w:t>
            </w:r>
          </w:p>
        </w:tc>
      </w:tr>
      <w:tr w:rsidR="00000000" w14:paraId="0E441FF6" w14:textId="77777777">
        <w:trPr>
          <w:divId w:val="47194894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4FB81C0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Generata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FAD5C13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Aggiornare scenari PEI/SGS-PIR collegati a Serbatoio orizzontale solvente T-33 (T-33)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8B1F6A9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Alta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E5055E3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HSE / Gestione emergenze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AFBAA8C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—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3CAA8D6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Da pianificare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0BBC368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Serbatoio orizzontale solvente T-33 (T-33)</w:t>
            </w:r>
          </w:p>
        </w:tc>
      </w:tr>
      <w:tr w:rsidR="00000000" w14:paraId="272BE0D6" w14:textId="77777777">
        <w:trPr>
          <w:divId w:val="47194894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8AD62A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Generata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746F321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Pianificare drill di emergenza sismica con scenario NaTech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7EA2C13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Alta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DA9D51A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HSE / Operations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613E8F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—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8A9AE04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Da pianificare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085C6E5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Valutazione complessiva</w:t>
            </w:r>
          </w:p>
        </w:tc>
      </w:tr>
      <w:tr w:rsidR="00000000" w14:paraId="02A85F40" w14:textId="77777777">
        <w:trPr>
          <w:divId w:val="471948942"/>
        </w:trPr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95D3A93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Manuale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89CEDA8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Allineare dataset QsRA con anagrafica asset SGS-PIR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7563CDE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Alta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269EDA2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HSE / Process Safety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4CE49A6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28/03/2026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8EC516D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In corso</w:t>
            </w:r>
          </w:p>
        </w:tc>
        <w:tc>
          <w:tcPr>
            <w:tcW w:w="0" w:type="auto"/>
            <w:tcBorders>
              <w:top w:val="single" w:sz="6" w:space="0" w:color="CFD8E7"/>
              <w:left w:val="single" w:sz="6" w:space="0" w:color="CFD8E7"/>
              <w:bottom w:val="single" w:sz="6" w:space="0" w:color="CFD8E7"/>
              <w:right w:val="single" w:sz="6" w:space="0" w:color="CFD8E7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CFCA08E" w14:textId="77777777" w:rsidR="00000000" w:rsidRDefault="00000000">
            <w:pPr>
              <w:spacing w:before="120" w:after="210"/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1F2F4D"/>
                <w:sz w:val="18"/>
                <w:szCs w:val="18"/>
              </w:rPr>
              <w:t>Valutazione complessiva</w:t>
            </w:r>
          </w:p>
        </w:tc>
      </w:tr>
    </w:tbl>
    <w:p w14:paraId="105AD0E0" w14:textId="77777777" w:rsidR="00000000" w:rsidRDefault="00000000">
      <w:pPr>
        <w:pStyle w:val="Titolo2"/>
        <w:divId w:val="54404034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8. Conclusioni e note interpretative</w:t>
      </w:r>
    </w:p>
    <w:p w14:paraId="070BE4D1" w14:textId="77777777" w:rsidR="00000000" w:rsidRDefault="00000000">
      <w:pPr>
        <w:pStyle w:val="NormaleWeb"/>
        <w:divId w:val="54404034"/>
        <w:rPr>
          <w:rFonts w:ascii="Calibri" w:hAnsi="Calibri" w:cs="Calibri"/>
          <w:color w:val="1F2F4D"/>
        </w:rPr>
      </w:pPr>
      <w:r>
        <w:rPr>
          <w:rFonts w:ascii="Calibri" w:hAnsi="Calibri" w:cs="Calibri"/>
          <w:color w:val="1F2F4D"/>
        </w:rPr>
        <w:t>Nel dataset demo emergono criticità prevalenti sul serbatoio non ancorato TK-201, sulla colonna C-101 e sul piperack ammoniaca. Si raccomanda di integrare verifiche strutturali, riduzione del rilascio e aggiornamento dei presidi emergenziali.</w:t>
      </w:r>
    </w:p>
    <w:p w14:paraId="6E55DC52" w14:textId="77777777" w:rsidR="00000000" w:rsidRDefault="00000000">
      <w:pPr>
        <w:pStyle w:val="Titolo2"/>
        <w:divId w:val="887181813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9. Disclaimer finale</w:t>
      </w:r>
    </w:p>
    <w:p w14:paraId="6EF2310B" w14:textId="77777777" w:rsidR="00000000" w:rsidRDefault="00000000">
      <w:pPr>
        <w:shd w:val="clear" w:color="auto" w:fill="FFF0F2"/>
        <w:divId w:val="1814905560"/>
        <w:rPr>
          <w:rFonts w:ascii="Calibri" w:eastAsia="Times New Roman" w:hAnsi="Calibri" w:cs="Calibri"/>
          <w:color w:val="1F2F4D"/>
        </w:rPr>
      </w:pPr>
      <w:r>
        <w:rPr>
          <w:rFonts w:ascii="Calibri" w:eastAsia="Times New Roman" w:hAnsi="Calibri" w:cs="Calibri"/>
          <w:color w:val="1F2F4D"/>
        </w:rPr>
        <w:t>Questa web app costituisce uno strumento di supporto tecnico-operativo e non sostituisce sopralluogo, progettazione, modellazione specialistica, verifica documentale, giudizio professionale o adempimenti di legge. I risultati dipendono dai dati immessi e devono essere sempre verificati criticamente prima di qualsiasi impiego professionale.</w:t>
      </w:r>
    </w:p>
    <w:p w14:paraId="5C506B8E" w14:textId="77777777" w:rsidR="000D6A1F" w:rsidRDefault="00000000">
      <w:pPr>
        <w:shd w:val="clear" w:color="auto" w:fill="FFF4DD"/>
        <w:divId w:val="1718747267"/>
        <w:rPr>
          <w:rFonts w:ascii="Calibri" w:eastAsia="Times New Roman" w:hAnsi="Calibri" w:cs="Calibri"/>
          <w:color w:val="1F2F4D"/>
        </w:rPr>
      </w:pPr>
      <w:r>
        <w:rPr>
          <w:rStyle w:val="Enfasigrassetto"/>
          <w:rFonts w:ascii="Calibri" w:eastAsia="Times New Roman" w:hAnsi="Calibri" w:cs="Calibri"/>
          <w:color w:val="1F2F4D"/>
        </w:rPr>
        <w:t>Nota metodologica</w:t>
      </w:r>
      <w:r>
        <w:rPr>
          <w:rFonts w:ascii="Calibri" w:eastAsia="Times New Roman" w:hAnsi="Calibri" w:cs="Calibri"/>
          <w:color w:val="1F2F4D"/>
        </w:rPr>
        <w:br/>
        <w:t xml:space="preserve">La presente implementazione è orientata a screening, supporto decisionale e organizzazione dati; per applicazioni regolatorie o analisi di dettaglio è necessario integrare con valutazioni specialistiche. </w:t>
      </w:r>
    </w:p>
    <w:sectPr w:rsidR="000D6A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08"/>
  <w:hyphenationZone w:val="283"/>
  <w:noPunctuationKerning/>
  <w:characterSpacingControl w:val="doNotCompress"/>
  <w:savePreviewPicture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24B"/>
    <w:rsid w:val="000D6A1F"/>
    <w:rsid w:val="002D2D5E"/>
    <w:rsid w:val="0030624B"/>
    <w:rsid w:val="00F1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E69478"/>
  <w15:chartTrackingRefBased/>
  <w15:docId w15:val="{8DF40B74-1F91-4727-8BD7-B0E1A66C8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pPr>
      <w:spacing w:after="120"/>
      <w:outlineLvl w:val="0"/>
    </w:pPr>
    <w:rPr>
      <w:b/>
      <w:bCs/>
      <w:color w:val="173A92"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qFormat/>
    <w:pPr>
      <w:spacing w:before="270" w:after="120"/>
      <w:outlineLvl w:val="1"/>
    </w:pPr>
    <w:rPr>
      <w:b/>
      <w:bCs/>
      <w:color w:val="173A92"/>
      <w:sz w:val="34"/>
      <w:szCs w:val="34"/>
    </w:rPr>
  </w:style>
  <w:style w:type="paragraph" w:styleId="Titolo3">
    <w:name w:val="heading 3"/>
    <w:basedOn w:val="Normale"/>
    <w:link w:val="Titolo3Carattere"/>
    <w:uiPriority w:val="9"/>
    <w:qFormat/>
    <w:pPr>
      <w:spacing w:before="210" w:after="120"/>
      <w:outlineLvl w:val="2"/>
    </w:pPr>
    <w:rPr>
      <w:b/>
      <w:bCs/>
      <w:color w:val="173A9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customStyle="1" w:styleId="msonormal0">
    <w:name w:val="msonormal"/>
    <w:basedOn w:val="Normale"/>
    <w:pPr>
      <w:spacing w:after="150"/>
    </w:pPr>
  </w:style>
  <w:style w:type="paragraph" w:styleId="NormaleWeb">
    <w:name w:val="Normal (Web)"/>
    <w:basedOn w:val="Normale"/>
    <w:uiPriority w:val="99"/>
    <w:semiHidden/>
    <w:unhideWhenUsed/>
    <w:pPr>
      <w:spacing w:after="150"/>
    </w:pPr>
  </w:style>
  <w:style w:type="paragraph" w:customStyle="1" w:styleId="section">
    <w:name w:val="section"/>
    <w:basedOn w:val="Normale"/>
    <w:pPr>
      <w:spacing w:before="100" w:beforeAutospacing="1" w:after="270"/>
    </w:pPr>
  </w:style>
  <w:style w:type="paragraph" w:customStyle="1" w:styleId="doc-table">
    <w:name w:val="doc-table"/>
    <w:basedOn w:val="Normale"/>
    <w:pPr>
      <w:spacing w:before="120" w:after="210"/>
    </w:pPr>
  </w:style>
  <w:style w:type="paragraph" w:customStyle="1" w:styleId="asset-results-table">
    <w:name w:val="asset-results-table"/>
    <w:basedOn w:val="Normale"/>
    <w:pPr>
      <w:spacing w:before="120" w:after="210"/>
    </w:pPr>
  </w:style>
  <w:style w:type="paragraph" w:customStyle="1" w:styleId="small">
    <w:name w:val="small"/>
    <w:basedOn w:val="Normale"/>
    <w:pPr>
      <w:spacing w:before="100" w:beforeAutospacing="1" w:after="100" w:afterAutospacing="1"/>
    </w:pPr>
    <w:rPr>
      <w:color w:val="51627F"/>
      <w:sz w:val="18"/>
      <w:szCs w:val="18"/>
    </w:rPr>
  </w:style>
  <w:style w:type="paragraph" w:customStyle="1" w:styleId="badge">
    <w:name w:val="badge"/>
    <w:basedOn w:val="Normale"/>
    <w:pPr>
      <w:pBdr>
        <w:top w:val="single" w:sz="6" w:space="3" w:color="D5E3FF"/>
        <w:left w:val="single" w:sz="6" w:space="6" w:color="D5E3FF"/>
        <w:bottom w:val="single" w:sz="6" w:space="3" w:color="D5E3FF"/>
        <w:right w:val="single" w:sz="6" w:space="6" w:color="D5E3FF"/>
      </w:pBdr>
      <w:shd w:val="clear" w:color="auto" w:fill="EDF4FF"/>
      <w:spacing w:before="100" w:beforeAutospacing="1" w:after="100" w:afterAutospacing="1"/>
    </w:pPr>
    <w:rPr>
      <w:sz w:val="18"/>
      <w:szCs w:val="18"/>
    </w:rPr>
  </w:style>
  <w:style w:type="paragraph" w:customStyle="1" w:styleId="chart">
    <w:name w:val="chart"/>
    <w:basedOn w:val="Normale"/>
    <w:pPr>
      <w:spacing w:before="150" w:after="270"/>
      <w:jc w:val="center"/>
    </w:pPr>
  </w:style>
  <w:style w:type="paragraph" w:customStyle="1" w:styleId="notice">
    <w:name w:val="notice"/>
    <w:basedOn w:val="Normale"/>
    <w:pPr>
      <w:pBdr>
        <w:top w:val="single" w:sz="6" w:space="8" w:color="EFD49A"/>
        <w:left w:val="single" w:sz="6" w:space="8" w:color="EFD49A"/>
        <w:bottom w:val="single" w:sz="6" w:space="8" w:color="EFD49A"/>
        <w:right w:val="single" w:sz="6" w:space="8" w:color="EFD49A"/>
      </w:pBdr>
      <w:shd w:val="clear" w:color="auto" w:fill="FFF4DD"/>
      <w:spacing w:before="100" w:beforeAutospacing="1" w:after="100" w:afterAutospacing="1"/>
    </w:pPr>
  </w:style>
  <w:style w:type="paragraph" w:customStyle="1" w:styleId="danger">
    <w:name w:val="danger"/>
    <w:basedOn w:val="Normale"/>
    <w:pPr>
      <w:pBdr>
        <w:top w:val="single" w:sz="6" w:space="8" w:color="F0C4CC"/>
        <w:left w:val="single" w:sz="6" w:space="8" w:color="F0C4CC"/>
        <w:bottom w:val="single" w:sz="6" w:space="8" w:color="F0C4CC"/>
        <w:right w:val="single" w:sz="6" w:space="8" w:color="F0C4CC"/>
      </w:pBdr>
      <w:shd w:val="clear" w:color="auto" w:fill="FFF0F2"/>
      <w:spacing w:before="100" w:beforeAutospacing="1" w:after="100" w:afterAutospacing="1"/>
    </w:pPr>
  </w:style>
  <w:style w:type="paragraph" w:customStyle="1" w:styleId="muted">
    <w:name w:val="muted"/>
    <w:basedOn w:val="Normale"/>
    <w:pPr>
      <w:spacing w:before="100" w:beforeAutospacing="1" w:after="100" w:afterAutospacing="1"/>
    </w:pPr>
    <w:rPr>
      <w:color w:val="5F6D84"/>
    </w:rPr>
  </w:style>
  <w:style w:type="paragraph" w:customStyle="1" w:styleId="matrix-table">
    <w:name w:val="matrix-table"/>
    <w:basedOn w:val="Normale"/>
    <w:pPr>
      <w:spacing w:before="120" w:after="210"/>
    </w:pPr>
  </w:style>
  <w:style w:type="paragraph" w:customStyle="1" w:styleId="matrix-count">
    <w:name w:val="matrix-count"/>
    <w:basedOn w:val="Normale"/>
    <w:pPr>
      <w:spacing w:before="100" w:beforeAutospacing="1" w:after="100" w:afterAutospacing="1"/>
    </w:pPr>
    <w:rPr>
      <w:sz w:val="17"/>
      <w:szCs w:val="17"/>
    </w:rPr>
  </w:style>
  <w:style w:type="paragraph" w:customStyle="1" w:styleId="matrix-cell-absent">
    <w:name w:val="matrix-cell-absent"/>
    <w:basedOn w:val="Normale"/>
    <w:pPr>
      <w:shd w:val="clear" w:color="auto" w:fill="DFF6E8"/>
      <w:spacing w:before="100" w:beforeAutospacing="1" w:after="100" w:afterAutospacing="1"/>
    </w:pPr>
  </w:style>
  <w:style w:type="paragraph" w:customStyle="1" w:styleId="matrix-cell-limited">
    <w:name w:val="matrix-cell-limited"/>
    <w:basedOn w:val="Normale"/>
    <w:pPr>
      <w:shd w:val="clear" w:color="auto" w:fill="E9F7D8"/>
      <w:spacing w:before="100" w:beforeAutospacing="1" w:after="100" w:afterAutospacing="1"/>
    </w:pPr>
  </w:style>
  <w:style w:type="paragraph" w:customStyle="1" w:styleId="matrix-cell-low">
    <w:name w:val="matrix-cell-low"/>
    <w:basedOn w:val="Normale"/>
    <w:pPr>
      <w:shd w:val="clear" w:color="auto" w:fill="FFF4BF"/>
      <w:spacing w:before="100" w:beforeAutospacing="1" w:after="100" w:afterAutospacing="1"/>
    </w:pPr>
  </w:style>
  <w:style w:type="paragraph" w:customStyle="1" w:styleId="matrix-cell-medium">
    <w:name w:val="matrix-cell-medium"/>
    <w:basedOn w:val="Normale"/>
    <w:pPr>
      <w:shd w:val="clear" w:color="auto" w:fill="FFE0B3"/>
      <w:spacing w:before="100" w:beforeAutospacing="1" w:after="100" w:afterAutospacing="1"/>
    </w:pPr>
  </w:style>
  <w:style w:type="paragraph" w:customStyle="1" w:styleId="matrix-cell-high">
    <w:name w:val="matrix-cell-high"/>
    <w:basedOn w:val="Normale"/>
    <w:pPr>
      <w:shd w:val="clear" w:color="auto" w:fill="FFD0D5"/>
      <w:spacing w:before="100" w:beforeAutospacing="1" w:after="100" w:afterAutospacing="1"/>
    </w:pPr>
  </w:style>
  <w:style w:type="paragraph" w:customStyle="1" w:styleId="matrix-cell-extreme">
    <w:name w:val="matrix-cell-extreme"/>
    <w:basedOn w:val="Normale"/>
    <w:pPr>
      <w:shd w:val="clear" w:color="auto" w:fill="F2BDD2"/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customStyle="1" w:styleId="matrix-count1">
    <w:name w:val="matrix-count1"/>
    <w:basedOn w:val="Carpredefinitoparagrafo"/>
    <w:rPr>
      <w:b w:val="0"/>
      <w:bCs w:val="0"/>
      <w:vanish w:val="0"/>
      <w:webHidden w:val="0"/>
      <w:sz w:val="17"/>
      <w:szCs w:val="17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04034">
      <w:marLeft w:val="0"/>
      <w:marRight w:val="0"/>
      <w:marTop w:val="0"/>
      <w:marBottom w:val="27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1324">
      <w:marLeft w:val="0"/>
      <w:marRight w:val="0"/>
      <w:marTop w:val="0"/>
      <w:marBottom w:val="27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8942">
      <w:marLeft w:val="0"/>
      <w:marRight w:val="0"/>
      <w:marTop w:val="0"/>
      <w:marBottom w:val="27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4628">
      <w:marLeft w:val="0"/>
      <w:marRight w:val="0"/>
      <w:marTop w:val="0"/>
      <w:marBottom w:val="27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43529">
          <w:marLeft w:val="0"/>
          <w:marRight w:val="0"/>
          <w:marTop w:val="15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18112">
          <w:marLeft w:val="0"/>
          <w:marRight w:val="0"/>
          <w:marTop w:val="15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3495">
          <w:marLeft w:val="0"/>
          <w:marRight w:val="0"/>
          <w:marTop w:val="15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4108">
          <w:marLeft w:val="0"/>
          <w:marRight w:val="0"/>
          <w:marTop w:val="15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181813">
      <w:marLeft w:val="0"/>
      <w:marRight w:val="0"/>
      <w:marTop w:val="0"/>
      <w:marBottom w:val="27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05560">
          <w:marLeft w:val="0"/>
          <w:marRight w:val="0"/>
          <w:marTop w:val="0"/>
          <w:marBottom w:val="0"/>
          <w:divBdr>
            <w:top w:val="single" w:sz="6" w:space="8" w:color="F0C4CC"/>
            <w:left w:val="single" w:sz="6" w:space="8" w:color="F0C4CC"/>
            <w:bottom w:val="single" w:sz="6" w:space="8" w:color="F0C4CC"/>
            <w:right w:val="single" w:sz="6" w:space="8" w:color="F0C4CC"/>
          </w:divBdr>
        </w:div>
        <w:div w:id="1718747267">
          <w:marLeft w:val="0"/>
          <w:marRight w:val="0"/>
          <w:marTop w:val="0"/>
          <w:marBottom w:val="0"/>
          <w:divBdr>
            <w:top w:val="single" w:sz="6" w:space="8" w:color="EFD49A"/>
            <w:left w:val="single" w:sz="6" w:space="8" w:color="EFD49A"/>
            <w:bottom w:val="single" w:sz="6" w:space="8" w:color="EFD49A"/>
            <w:right w:val="single" w:sz="6" w:space="8" w:color="EFD49A"/>
          </w:divBdr>
        </w:div>
      </w:divsChild>
    </w:div>
    <w:div w:id="1133212332">
      <w:marLeft w:val="0"/>
      <w:marRight w:val="0"/>
      <w:marTop w:val="0"/>
      <w:marBottom w:val="27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9718">
      <w:marLeft w:val="0"/>
      <w:marRight w:val="0"/>
      <w:marTop w:val="0"/>
      <w:marBottom w:val="27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4888">
      <w:marLeft w:val="0"/>
      <w:marRight w:val="0"/>
      <w:marTop w:val="0"/>
      <w:marBottom w:val="27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5631">
      <w:marLeft w:val="0"/>
      <w:marRight w:val="0"/>
      <w:marTop w:val="0"/>
      <w:marBottom w:val="27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3230">
      <w:marLeft w:val="0"/>
      <w:marRight w:val="0"/>
      <w:marTop w:val="0"/>
      <w:marBottom w:val="27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1181</Words>
  <Characters>7095</Characters>
  <Application>Microsoft Office Word</Application>
  <DocSecurity>0</DocSecurity>
  <Lines>546</Lines>
  <Paragraphs>363</Paragraphs>
  <ScaleCrop>false</ScaleCrop>
  <Company/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QsRA sismica 2026 - Area serbatoi e utilities solventi</dc:title>
  <dc:subject/>
  <dc:creator>PAOLO BENNI</dc:creator>
  <cp:keywords/>
  <dc:description/>
  <cp:lastModifiedBy>PAOLO BENNI</cp:lastModifiedBy>
  <cp:revision>2</cp:revision>
  <dcterms:created xsi:type="dcterms:W3CDTF">2026-03-28T08:28:00Z</dcterms:created>
  <dcterms:modified xsi:type="dcterms:W3CDTF">2026-03-28T08:28:00Z</dcterms:modified>
</cp:coreProperties>
</file>