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CF5EB" w14:textId="77777777" w:rsidR="00000000" w:rsidRDefault="00000000">
      <w:pPr>
        <w:pStyle w:val="Titolo1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NIS2 Compliance Free - Report tecnico-operativo</w:t>
      </w:r>
    </w:p>
    <w:p w14:paraId="7A62E51A" w14:textId="77777777" w:rsidR="00000000" w:rsidRDefault="00000000">
      <w:pPr>
        <w:pStyle w:val="small"/>
        <w:rPr>
          <w:rFonts w:ascii="Arial" w:hAnsi="Arial" w:cs="Arial"/>
        </w:rPr>
      </w:pPr>
      <w:r>
        <w:rPr>
          <w:rFonts w:ascii="Arial" w:hAnsi="Arial" w:cs="Arial"/>
        </w:rPr>
        <w:t>Generato il 24/05/2026, 19:12:20 · Export Word lato client · Orientamento orizzontale · Versione 1.2.5</w:t>
      </w:r>
    </w:p>
    <w:p w14:paraId="3EFC0125" w14:textId="77777777" w:rsidR="00000000" w:rsidRDefault="00000000">
      <w:pPr>
        <w:shd w:val="clear" w:color="auto" w:fill="F4F8FF"/>
        <w:divId w:val="2012636267"/>
        <w:rPr>
          <w:rFonts w:ascii="Arial" w:eastAsia="Times New Roman" w:hAnsi="Arial" w:cs="Arial"/>
          <w:color w:val="14213D"/>
          <w:sz w:val="18"/>
          <w:szCs w:val="18"/>
        </w:rPr>
      </w:pPr>
      <w:r>
        <w:rPr>
          <w:rStyle w:val="Enfasigrassetto"/>
          <w:rFonts w:ascii="Arial" w:eastAsia="Times New Roman" w:hAnsi="Arial" w:cs="Arial"/>
          <w:color w:val="14213D"/>
          <w:sz w:val="18"/>
          <w:szCs w:val="18"/>
        </w:rPr>
        <w:t>Nota professionale.</w:t>
      </w:r>
      <w:r>
        <w:rPr>
          <w:rFonts w:ascii="Arial" w:eastAsia="Times New Roman" w:hAnsi="Arial" w:cs="Arial"/>
          <w:color w:val="14213D"/>
          <w:sz w:val="18"/>
          <w:szCs w:val="18"/>
        </w:rPr>
        <w:t xml:space="preserve"> Il report è uno strumento di supporto e deve essere verificato con documentazione reale, fonti normative aggiornate e competenze specialistiche.</w:t>
      </w:r>
    </w:p>
    <w:p w14:paraId="64C4B517" w14:textId="77777777" w:rsidR="00000000" w:rsidRDefault="00000000">
      <w:pPr>
        <w:pStyle w:val="Titolo2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1. Dati generali</w:t>
      </w:r>
    </w:p>
    <w:tbl>
      <w:tblPr>
        <w:tblW w:w="1570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53"/>
        <w:gridCol w:w="13553"/>
      </w:tblGrid>
      <w:tr w:rsidR="00000000" w14:paraId="42AE2352" w14:textId="77777777">
        <w:trPr>
          <w:cantSplit/>
          <w:tblHeader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642C96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Campo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0F72A6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Valore</w:t>
            </w:r>
          </w:p>
        </w:tc>
      </w:tr>
      <w:tr w:rsidR="00000000" w14:paraId="12086618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8DD28A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Organizzazione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D2B221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Clinica Digitale Nord S.p.A.</w:t>
            </w:r>
          </w:p>
        </w:tc>
      </w:tr>
      <w:tr w:rsidR="00000000" w14:paraId="25875E29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4172D8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Settore NIS2 prevalente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DFB749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Sanità</w:t>
            </w:r>
          </w:p>
        </w:tc>
      </w:tr>
      <w:tr w:rsidR="00000000" w14:paraId="7E812982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342149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Classificazione attesa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EDD7EB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Soggetto essenziale</w:t>
            </w:r>
          </w:p>
        </w:tc>
      </w:tr>
      <w:tr w:rsidR="00000000" w14:paraId="3B09C119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2269F2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Paese / autorità prevalente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473D5D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Italia / ACN e CSIRT Italia</w:t>
            </w:r>
          </w:p>
        </w:tc>
      </w:tr>
      <w:tr w:rsidR="00000000" w14:paraId="38C0E2B3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41AB49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Dipendenti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54C2C5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420</w:t>
            </w:r>
          </w:p>
        </w:tc>
      </w:tr>
      <w:tr w:rsidR="00000000" w14:paraId="688F68AC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C5BAE0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Fatturato annuo indicativo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9F1903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68.000.000 €</w:t>
            </w:r>
          </w:p>
        </w:tc>
      </w:tr>
      <w:tr w:rsidR="00000000" w14:paraId="5BC0B163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AF6D91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Legal entity / sedi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0B40C5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1 legal entity, 3 sedi cliniche, 1 data center secondario, servizi cloud UE</w:t>
            </w:r>
          </w:p>
        </w:tc>
      </w:tr>
      <w:tr w:rsidR="00000000" w14:paraId="77BCC94B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620B6B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Referente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5CC349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Ing. Marco Rinaldi - CISO</w:t>
            </w:r>
          </w:p>
        </w:tc>
      </w:tr>
      <w:tr w:rsidR="00000000" w14:paraId="37A61E58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83332A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Email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4EA1E8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ciso@clinicadigitalenord.example</w:t>
            </w:r>
          </w:p>
        </w:tc>
      </w:tr>
      <w:tr w:rsidR="00000000" w14:paraId="0DFA73EE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E6E05F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Servizi critici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3A8484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Cartella clinica elettronica; portale prenotazioni; laboratorio analisi; telemedicina; gestione referti; identity provider; backup e disaster recovery; connettività verso fornitori diagnostici.</w:t>
            </w:r>
          </w:p>
        </w:tc>
      </w:tr>
      <w:tr w:rsidR="00000000" w14:paraId="08AC24EB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3E18DF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Note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4D11AE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Assessment demo per verifica operativa NIS2 2026. Sono inclusi controlli, rischi, fornitori, evidenze, incidenti simulati e piano remediation. Dati non reali.</w:t>
            </w:r>
          </w:p>
        </w:tc>
      </w:tr>
    </w:tbl>
    <w:p w14:paraId="4F1103A4" w14:textId="77777777" w:rsidR="00000000" w:rsidRDefault="00000000">
      <w:pPr>
        <w:pStyle w:val="Titolo2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lastRenderedPageBreak/>
        <w:t>2. KPI principali</w:t>
      </w:r>
    </w:p>
    <w:p w14:paraId="5AC5943A" w14:textId="77777777" w:rsidR="00000000" w:rsidRDefault="00000000">
      <w:pPr>
        <w:shd w:val="clear" w:color="auto" w:fill="F7F9FC"/>
        <w:textAlignment w:val="top"/>
        <w:divId w:val="1844783954"/>
        <w:rPr>
          <w:rFonts w:ascii="Arial" w:eastAsia="Times New Roman" w:hAnsi="Arial" w:cs="Arial"/>
          <w:color w:val="14213D"/>
          <w:sz w:val="18"/>
          <w:szCs w:val="18"/>
        </w:rPr>
      </w:pPr>
      <w:r>
        <w:rPr>
          <w:rFonts w:ascii="Arial" w:eastAsia="Times New Roman" w:hAnsi="Arial" w:cs="Arial"/>
          <w:color w:val="14213D"/>
          <w:sz w:val="18"/>
          <w:szCs w:val="18"/>
        </w:rPr>
        <w:t>Elementi</w:t>
      </w:r>
      <w:r>
        <w:rPr>
          <w:rFonts w:ascii="Arial" w:eastAsia="Times New Roman" w:hAnsi="Arial" w:cs="Arial"/>
          <w:b/>
          <w:bCs/>
          <w:color w:val="2446BF"/>
          <w:sz w:val="28"/>
          <w:szCs w:val="28"/>
        </w:rPr>
        <w:t>29</w:t>
      </w:r>
    </w:p>
    <w:p w14:paraId="68D45341" w14:textId="77777777" w:rsidR="00000000" w:rsidRDefault="00000000">
      <w:pPr>
        <w:shd w:val="clear" w:color="auto" w:fill="F7F9FC"/>
        <w:textAlignment w:val="top"/>
        <w:divId w:val="2026050472"/>
        <w:rPr>
          <w:rFonts w:ascii="Arial" w:eastAsia="Times New Roman" w:hAnsi="Arial" w:cs="Arial"/>
          <w:color w:val="14213D"/>
          <w:sz w:val="18"/>
          <w:szCs w:val="18"/>
        </w:rPr>
      </w:pPr>
      <w:r>
        <w:rPr>
          <w:rFonts w:ascii="Arial" w:eastAsia="Times New Roman" w:hAnsi="Arial" w:cs="Arial"/>
          <w:color w:val="14213D"/>
          <w:sz w:val="18"/>
          <w:szCs w:val="18"/>
        </w:rPr>
        <w:t>Compliance</w:t>
      </w:r>
      <w:r>
        <w:rPr>
          <w:rFonts w:ascii="Arial" w:eastAsia="Times New Roman" w:hAnsi="Arial" w:cs="Arial"/>
          <w:b/>
          <w:bCs/>
          <w:color w:val="2446BF"/>
          <w:sz w:val="28"/>
          <w:szCs w:val="28"/>
        </w:rPr>
        <w:t>59%</w:t>
      </w:r>
    </w:p>
    <w:p w14:paraId="348ACAD1" w14:textId="77777777" w:rsidR="00000000" w:rsidRDefault="00000000">
      <w:pPr>
        <w:shd w:val="clear" w:color="auto" w:fill="F7F9FC"/>
        <w:textAlignment w:val="top"/>
        <w:divId w:val="305011035"/>
        <w:rPr>
          <w:rFonts w:ascii="Arial" w:eastAsia="Times New Roman" w:hAnsi="Arial" w:cs="Arial"/>
          <w:color w:val="14213D"/>
          <w:sz w:val="18"/>
          <w:szCs w:val="18"/>
        </w:rPr>
      </w:pPr>
      <w:r>
        <w:rPr>
          <w:rFonts w:ascii="Arial" w:eastAsia="Times New Roman" w:hAnsi="Arial" w:cs="Arial"/>
          <w:color w:val="14213D"/>
          <w:sz w:val="18"/>
          <w:szCs w:val="18"/>
        </w:rPr>
        <w:t>Rischio massimo</w:t>
      </w:r>
      <w:r>
        <w:rPr>
          <w:rFonts w:ascii="Arial" w:eastAsia="Times New Roman" w:hAnsi="Arial" w:cs="Arial"/>
          <w:b/>
          <w:bCs/>
          <w:color w:val="2446BF"/>
          <w:sz w:val="28"/>
          <w:szCs w:val="28"/>
        </w:rPr>
        <w:t>Critico</w:t>
      </w:r>
    </w:p>
    <w:p w14:paraId="4B938479" w14:textId="77777777" w:rsidR="00000000" w:rsidRDefault="00000000">
      <w:pPr>
        <w:shd w:val="clear" w:color="auto" w:fill="F7F9FC"/>
        <w:textAlignment w:val="top"/>
        <w:divId w:val="1105150794"/>
        <w:rPr>
          <w:rFonts w:ascii="Arial" w:eastAsia="Times New Roman" w:hAnsi="Arial" w:cs="Arial"/>
          <w:color w:val="14213D"/>
          <w:sz w:val="18"/>
          <w:szCs w:val="18"/>
        </w:rPr>
      </w:pPr>
      <w:r>
        <w:rPr>
          <w:rFonts w:ascii="Arial" w:eastAsia="Times New Roman" w:hAnsi="Arial" w:cs="Arial"/>
          <w:color w:val="14213D"/>
          <w:sz w:val="18"/>
          <w:szCs w:val="18"/>
        </w:rPr>
        <w:t>Criticità</w:t>
      </w:r>
      <w:r>
        <w:rPr>
          <w:rFonts w:ascii="Arial" w:eastAsia="Times New Roman" w:hAnsi="Arial" w:cs="Arial"/>
          <w:b/>
          <w:bCs/>
          <w:color w:val="2446BF"/>
          <w:sz w:val="28"/>
          <w:szCs w:val="28"/>
        </w:rPr>
        <w:t>6</w:t>
      </w:r>
    </w:p>
    <w:p w14:paraId="754DF9E9" w14:textId="77777777" w:rsidR="00000000" w:rsidRDefault="00000000">
      <w:pPr>
        <w:shd w:val="clear" w:color="auto" w:fill="F7F9FC"/>
        <w:textAlignment w:val="top"/>
        <w:divId w:val="2123760025"/>
        <w:rPr>
          <w:rFonts w:ascii="Arial" w:eastAsia="Times New Roman" w:hAnsi="Arial" w:cs="Arial"/>
          <w:color w:val="14213D"/>
          <w:sz w:val="18"/>
          <w:szCs w:val="18"/>
        </w:rPr>
      </w:pPr>
      <w:r>
        <w:rPr>
          <w:rFonts w:ascii="Arial" w:eastAsia="Times New Roman" w:hAnsi="Arial" w:cs="Arial"/>
          <w:color w:val="14213D"/>
          <w:sz w:val="18"/>
          <w:szCs w:val="18"/>
        </w:rPr>
        <w:t>Azioni aperte</w:t>
      </w:r>
      <w:r>
        <w:rPr>
          <w:rFonts w:ascii="Arial" w:eastAsia="Times New Roman" w:hAnsi="Arial" w:cs="Arial"/>
          <w:b/>
          <w:bCs/>
          <w:color w:val="2446BF"/>
          <w:sz w:val="28"/>
          <w:szCs w:val="28"/>
        </w:rPr>
        <w:t>4</w:t>
      </w:r>
    </w:p>
    <w:p w14:paraId="4B794552" w14:textId="77777777" w:rsidR="00000000" w:rsidRDefault="00000000">
      <w:pPr>
        <w:shd w:val="clear" w:color="auto" w:fill="F7F9FC"/>
        <w:textAlignment w:val="top"/>
        <w:divId w:val="1423449607"/>
        <w:rPr>
          <w:rFonts w:ascii="Arial" w:eastAsia="Times New Roman" w:hAnsi="Arial" w:cs="Arial"/>
          <w:color w:val="14213D"/>
          <w:sz w:val="18"/>
          <w:szCs w:val="18"/>
        </w:rPr>
      </w:pPr>
      <w:r>
        <w:rPr>
          <w:rFonts w:ascii="Arial" w:eastAsia="Times New Roman" w:hAnsi="Arial" w:cs="Arial"/>
          <w:color w:val="14213D"/>
          <w:sz w:val="18"/>
          <w:szCs w:val="18"/>
        </w:rPr>
        <w:t>Fornitori critici</w:t>
      </w:r>
      <w:r>
        <w:rPr>
          <w:rFonts w:ascii="Arial" w:eastAsia="Times New Roman" w:hAnsi="Arial" w:cs="Arial"/>
          <w:b/>
          <w:bCs/>
          <w:color w:val="2446BF"/>
          <w:sz w:val="28"/>
          <w:szCs w:val="28"/>
        </w:rPr>
        <w:t>1</w:t>
      </w:r>
    </w:p>
    <w:p w14:paraId="0665475D" w14:textId="77777777" w:rsidR="00000000" w:rsidRDefault="00000000">
      <w:pPr>
        <w:shd w:val="clear" w:color="auto" w:fill="F7F9FC"/>
        <w:textAlignment w:val="top"/>
        <w:divId w:val="2039697173"/>
        <w:rPr>
          <w:rFonts w:ascii="Arial" w:eastAsia="Times New Roman" w:hAnsi="Arial" w:cs="Arial"/>
          <w:color w:val="14213D"/>
          <w:sz w:val="18"/>
          <w:szCs w:val="18"/>
        </w:rPr>
      </w:pPr>
      <w:r>
        <w:rPr>
          <w:rFonts w:ascii="Arial" w:eastAsia="Times New Roman" w:hAnsi="Arial" w:cs="Arial"/>
          <w:color w:val="14213D"/>
          <w:sz w:val="18"/>
          <w:szCs w:val="18"/>
        </w:rPr>
        <w:t>Evidenze da aggiornare</w:t>
      </w:r>
      <w:r>
        <w:rPr>
          <w:rFonts w:ascii="Arial" w:eastAsia="Times New Roman" w:hAnsi="Arial" w:cs="Arial"/>
          <w:b/>
          <w:bCs/>
          <w:color w:val="2446BF"/>
          <w:sz w:val="28"/>
          <w:szCs w:val="28"/>
        </w:rPr>
        <w:t>2</w:t>
      </w:r>
    </w:p>
    <w:p w14:paraId="766F75D3" w14:textId="77777777" w:rsidR="00000000" w:rsidRDefault="00000000">
      <w:pPr>
        <w:shd w:val="clear" w:color="auto" w:fill="F7F9FC"/>
        <w:textAlignment w:val="top"/>
        <w:divId w:val="90011000"/>
        <w:rPr>
          <w:rFonts w:ascii="Arial" w:eastAsia="Times New Roman" w:hAnsi="Arial" w:cs="Arial"/>
          <w:color w:val="14213D"/>
          <w:sz w:val="18"/>
          <w:szCs w:val="18"/>
        </w:rPr>
      </w:pPr>
      <w:r>
        <w:rPr>
          <w:rFonts w:ascii="Arial" w:eastAsia="Times New Roman" w:hAnsi="Arial" w:cs="Arial"/>
          <w:color w:val="14213D"/>
          <w:sz w:val="18"/>
          <w:szCs w:val="18"/>
        </w:rPr>
        <w:t>Incidenti aperti</w:t>
      </w:r>
      <w:r>
        <w:rPr>
          <w:rFonts w:ascii="Arial" w:eastAsia="Times New Roman" w:hAnsi="Arial" w:cs="Arial"/>
          <w:b/>
          <w:bCs/>
          <w:color w:val="2446BF"/>
          <w:sz w:val="28"/>
          <w:szCs w:val="28"/>
        </w:rPr>
        <w:t>0</w:t>
      </w:r>
    </w:p>
    <w:p w14:paraId="2D0824F4" w14:textId="77777777" w:rsidR="00000000" w:rsidRDefault="00000000">
      <w:pPr>
        <w:pStyle w:val="Titolo2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3. Sintesi interpretativa</w:t>
      </w:r>
    </w:p>
    <w:p w14:paraId="2C7E5D83" w14:textId="77777777" w:rsidR="00000000" w:rsidRDefault="00000000">
      <w:pPr>
        <w:pStyle w:val="NormaleWeb"/>
        <w:shd w:val="clear" w:color="auto" w:fill="F4F8FF"/>
        <w:divId w:val="479612019"/>
        <w:rPr>
          <w:rFonts w:ascii="Arial" w:hAnsi="Arial" w:cs="Arial"/>
          <w:color w:val="14213D"/>
        </w:rPr>
      </w:pPr>
      <w:r>
        <w:rPr>
          <w:rStyle w:val="Enfasigrassetto"/>
          <w:rFonts w:ascii="Arial" w:hAnsi="Arial" w:cs="Arial"/>
          <w:color w:val="14213D"/>
        </w:rPr>
        <w:t>Stato valutazione:</w:t>
      </w:r>
      <w:r>
        <w:rPr>
          <w:rFonts w:ascii="Arial" w:hAnsi="Arial" w:cs="Arial"/>
          <w:color w:val="14213D"/>
        </w:rPr>
        <w:t xml:space="preserve"> In remediation</w:t>
      </w:r>
    </w:p>
    <w:p w14:paraId="06D63F43" w14:textId="77777777" w:rsidR="00000000" w:rsidRDefault="00000000">
      <w:pPr>
        <w:pStyle w:val="NormaleWeb"/>
        <w:shd w:val="clear" w:color="auto" w:fill="F4F8FF"/>
        <w:divId w:val="479612019"/>
        <w:rPr>
          <w:rFonts w:ascii="Arial" w:hAnsi="Arial" w:cs="Arial"/>
          <w:color w:val="14213D"/>
        </w:rPr>
      </w:pPr>
      <w:r>
        <w:rPr>
          <w:rFonts w:ascii="Arial" w:hAnsi="Arial" w:cs="Arial"/>
          <w:color w:val="14213D"/>
        </w:rPr>
        <w:t>Gap rilevanti da pianificare e chiudere con owner e scadenze. Il report deve essere verificato con documentazione reale, fonti normative applicabili e decisioni dell’organizzazione.</w:t>
      </w:r>
    </w:p>
    <w:p w14:paraId="6445AA8E" w14:textId="77777777" w:rsidR="00000000" w:rsidRDefault="00000000">
      <w:pPr>
        <w:pStyle w:val="Titolo2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4. Maturity assessment</w:t>
      </w:r>
    </w:p>
    <w:p w14:paraId="5FACF2C9" w14:textId="77777777" w:rsidR="00000000" w:rsidRDefault="00000000">
      <w:pPr>
        <w:pStyle w:val="Titolo3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Guida testuale alla selezione Maturity</w:t>
      </w:r>
    </w:p>
    <w:tbl>
      <w:tblPr>
        <w:tblW w:w="1570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3"/>
        <w:gridCol w:w="12713"/>
      </w:tblGrid>
      <w:tr w:rsidR="00000000" w14:paraId="792E0E4B" w14:textId="77777777">
        <w:trPr>
          <w:cantSplit/>
          <w:tblHeader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EAE3C3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Livello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30620B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Quando selezionarlo</w:t>
            </w:r>
          </w:p>
        </w:tc>
      </w:tr>
      <w:tr w:rsidR="00000000" w14:paraId="0FBCADA2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E74C54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0 - Assente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6820BD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Presidio non definito, non implementato o non dimostrabile con evidenze attendibili.</w:t>
            </w:r>
          </w:p>
        </w:tc>
      </w:tr>
      <w:tr w:rsidR="00000000" w14:paraId="6350268F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5DD174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1 - Iniziale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39326C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Presidio informale, reattivo, non standardizzato e dipendente da singole persone.</w:t>
            </w:r>
          </w:p>
        </w:tc>
      </w:tr>
      <w:tr w:rsidR="00000000" w14:paraId="4485C11C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E4272D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2 - Parziale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BF9A0E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Presidio presente ma incompleto, applicato solo ad alcune aree o con evidenze deboli.</w:t>
            </w:r>
          </w:p>
        </w:tc>
      </w:tr>
      <w:tr w:rsidR="00000000" w14:paraId="6A7D1B4E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4E2796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3 - Gestito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518C39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Processo formalizzato, assegnato a owner, monitorato e supportato da evidenze periodiche.</w:t>
            </w:r>
          </w:p>
        </w:tc>
      </w:tr>
      <w:tr w:rsidR="00000000" w14:paraId="24BBA1DC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8D6CCF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4 - Maturo/auditabile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941A24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Processo misurato, riesaminato, migliorato, integrato nella governance e dimostrabile in audit.</w:t>
            </w:r>
          </w:p>
        </w:tc>
      </w:tr>
    </w:tbl>
    <w:p w14:paraId="4D3D3309" w14:textId="77777777" w:rsidR="00000000" w:rsidRDefault="00000000">
      <w:pPr>
        <w:rPr>
          <w:rFonts w:ascii="Arial" w:eastAsia="Times New Roman" w:hAnsi="Arial" w:cs="Arial"/>
          <w:vanish/>
          <w:color w:val="14213D"/>
          <w:sz w:val="18"/>
          <w:szCs w:val="18"/>
        </w:rPr>
      </w:pPr>
    </w:p>
    <w:tbl>
      <w:tblPr>
        <w:tblW w:w="1570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38"/>
        <w:gridCol w:w="8185"/>
        <w:gridCol w:w="2783"/>
      </w:tblGrid>
      <w:tr w:rsidR="00000000" w14:paraId="477ACA85" w14:textId="77777777">
        <w:trPr>
          <w:cantSplit/>
          <w:tblHeader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DBD05D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Area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D54F6E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Maturity selezionata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553264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Copertura stimata</w:t>
            </w:r>
          </w:p>
        </w:tc>
      </w:tr>
      <w:tr w:rsidR="00000000" w14:paraId="11D6629B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B81FE4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Governance e responsabilità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AC43EC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3 · Gestito — formalizzato, assegnato e monitorato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B68342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75%</w:t>
            </w:r>
          </w:p>
        </w:tc>
      </w:tr>
      <w:tr w:rsidR="00000000" w14:paraId="4AAA7039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918FCD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Risk assessment e asset mapping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468DDB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3 · Gestito — formalizzato, assegnato e monitorato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BCD0FE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75%</w:t>
            </w:r>
          </w:p>
        </w:tc>
      </w:tr>
      <w:tr w:rsidR="00000000" w14:paraId="4BD49EAA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A00D48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Gestione incidenti e notifiche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2A3D14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2 · Parziale — incompleto, non esteso o con evidenze deboli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75EB67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50%</w:t>
            </w:r>
          </w:p>
        </w:tc>
      </w:tr>
      <w:tr w:rsidR="00000000" w14:paraId="21788B5A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D7CE34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Business continuity e DR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0E70B1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2 · Parziale — incompleto, non esteso o con evidenze deboli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05FAF0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50%</w:t>
            </w:r>
          </w:p>
        </w:tc>
      </w:tr>
      <w:tr w:rsidR="00000000" w14:paraId="5B3F5FCF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86BE15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Supply-chain security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3702EB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2 · Parziale — incompleto, non esteso o con evidenze deboli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77E2A9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50%</w:t>
            </w:r>
          </w:p>
        </w:tc>
      </w:tr>
      <w:tr w:rsidR="00000000" w14:paraId="383A8BB7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4B700D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IAM, MFA e privilegi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16731F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3 · Gestito — formalizzato, assegnato e monitorato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4B4247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75%</w:t>
            </w:r>
          </w:p>
        </w:tc>
      </w:tr>
      <w:tr w:rsidR="00000000" w14:paraId="73D39ED8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0EB0DD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Vulnerability e patch management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A3EFC5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2 · Parziale — incompleto, non esteso o con evidenze deboli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32181B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50%</w:t>
            </w:r>
          </w:p>
        </w:tc>
      </w:tr>
      <w:tr w:rsidR="00000000" w14:paraId="32E016E8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81B8E9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Logging e monitoraggio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9F809C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3 · Gestito — formalizzato, assegnato e monitorato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15C2D4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75%</w:t>
            </w:r>
          </w:p>
        </w:tc>
      </w:tr>
      <w:tr w:rsidR="00000000" w14:paraId="37D2D6E6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DB9E97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Formazione e awareness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5FFEAA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2 · Parziale — incompleto, non esteso o con evidenze deboli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B9AA9B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50%</w:t>
            </w:r>
          </w:p>
        </w:tc>
      </w:tr>
      <w:tr w:rsidR="00000000" w14:paraId="31A6D76A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8B002F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Cifratura, backup e sicurezza dati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92E19E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3 · Gestito — formalizzato, assegnato e monitorato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E63C60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75%</w:t>
            </w:r>
          </w:p>
        </w:tc>
      </w:tr>
      <w:tr w:rsidR="00000000" w14:paraId="6F2A7C4C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A2BB3F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Evidenze e audit trail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F65380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2 · Parziale — incompleto, non esteso o con evidenze deboli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EE39C2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50%</w:t>
            </w:r>
          </w:p>
        </w:tc>
      </w:tr>
      <w:tr w:rsidR="00000000" w14:paraId="294A008B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EF71FC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Coordinamento privacy / GDPR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F4AC7C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3 · Gestito — formalizzato, assegnato e monitorato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89E604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75%</w:t>
            </w:r>
          </w:p>
        </w:tc>
      </w:tr>
    </w:tbl>
    <w:p w14:paraId="1703AD37" w14:textId="77777777" w:rsidR="00000000" w:rsidRDefault="00000000">
      <w:pPr>
        <w:pStyle w:val="Titolo2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5. Control library</w:t>
      </w:r>
    </w:p>
    <w:tbl>
      <w:tblPr>
        <w:tblW w:w="1570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6"/>
        <w:gridCol w:w="4205"/>
        <w:gridCol w:w="1299"/>
        <w:gridCol w:w="735"/>
        <w:gridCol w:w="3347"/>
        <w:gridCol w:w="611"/>
        <w:gridCol w:w="3913"/>
      </w:tblGrid>
      <w:tr w:rsidR="00000000" w14:paraId="0DCDA7B3" w14:textId="77777777">
        <w:trPr>
          <w:cantSplit/>
          <w:tblHeader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18CCDC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Area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77B809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Controllo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DC203E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Owner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CDB561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Stato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B40F52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Maturity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BCA8C4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Priorità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A310F0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Evidenze</w:t>
            </w:r>
          </w:p>
        </w:tc>
      </w:tr>
      <w:tr w:rsidR="00000000" w14:paraId="68F5D5D5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A72FB5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Governance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DDF6A4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Nomina ruoli cyber, responsabilità direzione e reporting trimestrale al CdA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4BBAC8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Direzione / CISO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497641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In corso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4A6F29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3 · Gestito — formalizzato, assegnato e monitorato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973FAE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Alta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72AA23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RACI approvata, verbale CdA, dashboard KPI, procedura escalation.</w:t>
            </w:r>
          </w:p>
        </w:tc>
      </w:tr>
      <w:tr w:rsidR="00000000" w14:paraId="1CF21A56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193368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Risk management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D5ED40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Risk assessment servizi sanitari e asset critici con trattamento rischio residuo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FBB399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Risk Manager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25DE76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Parziale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D3FB4E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2 · Parziale — incompleto, non esteso o con evidenze deboli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5CC026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Alta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442FFF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Metodologia, risk register, criteri P/I, piano remediation.</w:t>
            </w:r>
          </w:p>
        </w:tc>
      </w:tr>
      <w:tr w:rsidR="00000000" w14:paraId="72B2D104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E920C6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Asset e servizi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9B0301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Inventario asset, mappe applicative, dipendenze cloud e data flow sanitari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CF043E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IT Operations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E2B849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In corso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C48271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3 · Gestito — formalizzato, assegnato e monitorato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CCEC30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Alta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8DBDAF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CMDB, schema servizi, inventario asset, diagrammi integrazioni.</w:t>
            </w:r>
          </w:p>
        </w:tc>
      </w:tr>
      <w:tr w:rsidR="00000000" w14:paraId="39B3216D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097C9D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Incident response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FE7E1B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Playbook incidenti, timeline 24h/72h/finale e registro decisioni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38C14E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SOC / CISO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5C8B99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Parziale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646A9D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2 · Parziale — incompleto, non esteso o con evidenze deboli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5AD098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Critica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011C9B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IRP v1.4, registro eventi, simulazione ransomware non ancora ripetuta.</w:t>
            </w:r>
          </w:p>
        </w:tc>
      </w:tr>
      <w:tr w:rsidR="00000000" w14:paraId="6595D1F3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163880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Business continuity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826189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BCP/DRP per cartella clinica e refertazione con test restore periodici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E4B935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BC Manager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A20A95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Parziale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7CD849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2 · Parziale — incompleto, non esteso o con evidenze deboli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824069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Critica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EDD874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DRP, report test restore parziale, RTO/RPO da aggiornare.</w:t>
            </w:r>
          </w:p>
        </w:tc>
      </w:tr>
      <w:tr w:rsidR="00000000" w14:paraId="2976CC6A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A44220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Supply chain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89A037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Vendor risk su cloud, diagnostica, MSP e connettività con clausole cyber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D4289D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Procurement / Legal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26BF37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Parziale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8272F5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2 · Parziale — incompleto, non esteso o con evidenze deboli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80C98B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Alta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C0973C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Registro fornitori, questionari inviati, contratti in revisione.</w:t>
            </w:r>
          </w:p>
        </w:tc>
      </w:tr>
      <w:tr w:rsidR="00000000" w14:paraId="3CEA8664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8CBC66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IAM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24703E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MFA per account privilegiati, review trimestrale e procedura JML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F2D689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Identity Manager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1D21B6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Conforme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A2F1BA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3 · Gestito — formalizzato, assegnato e monitorato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201F4C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Alta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5D7F54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Report MFA, review utenze Q1, policy accessi.</w:t>
            </w:r>
          </w:p>
        </w:tc>
      </w:tr>
      <w:tr w:rsidR="00000000" w14:paraId="72C1EDA1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32921B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Vulnerability management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1BDF3E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Scansioni mensili, patch SLA per criticità e registro eccezioni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50014C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Security Operations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4EAE27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In corso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7BFD6F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2 · Parziale — incompleto, non esteso o con evidenze deboli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B6816A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Alta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8F7D2D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Report vulnerability, piano patch, eccezioni legacy medical device.</w:t>
            </w:r>
          </w:p>
        </w:tc>
      </w:tr>
      <w:tr w:rsidR="00000000" w14:paraId="678D76F7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C621DE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Monitoring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0DF62D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SIEM con logging sistemi critici e alert su anomalie di accesso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A9DC7E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SOC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7C6D78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In corso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806811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3 · Gestito — formalizzato, assegnato e monitorato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252BFD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Alta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15849E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Dashboard SIEM, regole alert, retention 180 giorni.</w:t>
            </w:r>
          </w:p>
        </w:tc>
      </w:tr>
      <w:tr w:rsidR="00000000" w14:paraId="3C869363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19CC34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Data protection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BBC501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Cifratura dati sanitari, backup immutabili e test restore documentati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81703D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IT Security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BB8277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In corso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88F2CF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3 · Gestito — formalizzato, assegnato e monitorato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D7D865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Alta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959BCB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Configurazioni cifratura, backup immutabili, test restore trimestrali.</w:t>
            </w:r>
          </w:p>
        </w:tc>
      </w:tr>
      <w:tr w:rsidR="00000000" w14:paraId="5BB0BA45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D1123D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Training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B55666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Awareness utenti, formazione direzione e simulazioni phishing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C04F48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HR / CISO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AE8142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Parziale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A17D72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2 · Parziale — incompleto, non esteso o con evidenze deboli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56484A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Media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2042D4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Piano formativo, completamento 74%, simulazione phishing pianificata.</w:t>
            </w:r>
          </w:p>
        </w:tc>
      </w:tr>
      <w:tr w:rsidR="00000000" w14:paraId="340F0823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E6E18E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Evidence &amp; audit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67BB10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Evidence vault con scadenze, versioning e tracciabilità revisioni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800A50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Compliance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186D11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Parziale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1CDC07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2 · Parziale — incompleto, non esteso o con evidenze deboli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31AA84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Alta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679014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Archivio documentale, registro evidenze da completare.</w:t>
            </w:r>
          </w:p>
        </w:tc>
      </w:tr>
    </w:tbl>
    <w:p w14:paraId="3FB7FB62" w14:textId="77777777" w:rsidR="00000000" w:rsidRDefault="00000000">
      <w:pPr>
        <w:pStyle w:val="Titolo2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6. Risk register</w:t>
      </w:r>
    </w:p>
    <w:tbl>
      <w:tblPr>
        <w:tblW w:w="1570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4"/>
        <w:gridCol w:w="3042"/>
        <w:gridCol w:w="1887"/>
        <w:gridCol w:w="214"/>
        <w:gridCol w:w="198"/>
        <w:gridCol w:w="510"/>
        <w:gridCol w:w="572"/>
        <w:gridCol w:w="1568"/>
        <w:gridCol w:w="962"/>
        <w:gridCol w:w="5159"/>
      </w:tblGrid>
      <w:tr w:rsidR="00000000" w14:paraId="4C1866FB" w14:textId="77777777">
        <w:trPr>
          <w:cantSplit/>
          <w:tblHeader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33C22F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Servizio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AD47E9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Scenario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AC9063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Asset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2BD82C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P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10B7EB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6CAB75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Score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FA6F5D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Classe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8EFDAF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Owner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A6CD35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Stato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1B51A7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Misura</w:t>
            </w:r>
          </w:p>
        </w:tc>
      </w:tr>
      <w:tr w:rsidR="00000000" w14:paraId="44C1C954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339A00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Cartella clinica elettronica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A7E4A4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Indisponibilità per ransomware su cluster applicativo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FB3DF9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Cluster EHR, storage primario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853D7D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94E1EB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ABB16F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20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C2F0F3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Critico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A27D69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CISO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B1E488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In mitigazione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9928DF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Segmentazione, backup immutabili, esercitazione restore completa e playbook ransomware.</w:t>
            </w:r>
          </w:p>
        </w:tc>
      </w:tr>
      <w:tr w:rsidR="00000000" w14:paraId="3C3091DB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557EF2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Portale prenotazioni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F3E52D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DDoS con degrado servizio e impatto su utenti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ABD255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WAF/CDN, connettività internet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B0B854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9C6A39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A3E259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2F61C6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Medio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C6C2EB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IT Operations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3090FB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Aperto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36BE55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Contratto anti-DDoS, runbook escalation provider e monitoraggio disponibilità.</w:t>
            </w:r>
          </w:p>
        </w:tc>
      </w:tr>
      <w:tr w:rsidR="00000000" w14:paraId="68F1D33F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584345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Laboratorio analisi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197733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Interruzione integrazione fornitore diagnostico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FE9DCA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API laboratorio, VPN fornitore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F84C6A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984611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C4BF8F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12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F5B26E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Alto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CB0BDD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Responsabile laboratorio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92F852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Aperto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4D563B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SLA aggiornato, piano manual fallback, test continuità semestrale.</w:t>
            </w:r>
          </w:p>
        </w:tc>
      </w:tr>
      <w:tr w:rsidR="00000000" w14:paraId="1739EDD1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421279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Identity provider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CB65BB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Compromissione account amministrativo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0A6C23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IdP, tenant cloud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E32CD8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3C21CD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E98C51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B8C6E8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Alto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B39710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Identity Manager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B7000E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In mitigazione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89D840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PAM, MFA phishing resistant, alert impossibile travel, review privilegi.</w:t>
            </w:r>
          </w:p>
        </w:tc>
      </w:tr>
    </w:tbl>
    <w:p w14:paraId="246517E3" w14:textId="77777777" w:rsidR="00000000" w:rsidRDefault="00000000">
      <w:pPr>
        <w:pStyle w:val="Titolo2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7. Supply-chain risk</w:t>
      </w:r>
    </w:p>
    <w:tbl>
      <w:tblPr>
        <w:tblW w:w="1570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3"/>
        <w:gridCol w:w="2434"/>
        <w:gridCol w:w="729"/>
        <w:gridCol w:w="2390"/>
        <w:gridCol w:w="1542"/>
        <w:gridCol w:w="649"/>
        <w:gridCol w:w="932"/>
        <w:gridCol w:w="5057"/>
      </w:tblGrid>
      <w:tr w:rsidR="00000000" w14:paraId="5BD7E78D" w14:textId="77777777">
        <w:trPr>
          <w:cantSplit/>
          <w:tblHeader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521257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Fornitore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967A42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Servizio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DD09F8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Criticità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D460AF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Accesso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8E0181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Stato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DC62F0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Classe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CC906B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Scadenza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CD1CD5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Note</w:t>
            </w:r>
          </w:p>
        </w:tc>
      </w:tr>
      <w:tr w:rsidR="00000000" w14:paraId="6B6E53B0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DAF3B4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EuroCloud Health Hosting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C3EDF2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Hosting EHR e backup cloud UE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8C478A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A13ED1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Integrazione servizio essenziale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F3AEEB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In remediation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8A42CB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Critico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311BEB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23/06/2026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08ECB9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Richiesta evidenza ISO 27001, SOC report, subfornitori e test restore.</w:t>
            </w:r>
          </w:p>
        </w:tc>
      </w:tr>
      <w:tr w:rsidR="00000000" w14:paraId="746CF9BE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8D8904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DiagnoLab Systems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CE1E85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Integrazione referti laboratorio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759369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A4EB5D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Dati critici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E643A3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Questionario inviato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BD9523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Medio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0F4027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13/06/2026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1CC2E1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Da verificare encryption API, logging e business continuity.</w:t>
            </w:r>
          </w:p>
        </w:tc>
      </w:tr>
      <w:tr w:rsidR="00000000" w14:paraId="1240C2CC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B5DD38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MSSP Sentinel Care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F47619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Monitoraggio SOC e SIEM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63853C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FB14B4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Accesso amministrativo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562949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Conforme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7AC4F1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Medio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E208D9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20/11/2026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7A489E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Contratto aggiornato, SLA 24/7, report mensile.</w:t>
            </w:r>
          </w:p>
        </w:tc>
      </w:tr>
    </w:tbl>
    <w:p w14:paraId="597DC714" w14:textId="77777777" w:rsidR="00000000" w:rsidRDefault="00000000">
      <w:pPr>
        <w:pStyle w:val="Titolo2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8. Evidence vault</w:t>
      </w:r>
    </w:p>
    <w:tbl>
      <w:tblPr>
        <w:tblW w:w="1570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71"/>
        <w:gridCol w:w="1299"/>
        <w:gridCol w:w="1674"/>
        <w:gridCol w:w="1230"/>
        <w:gridCol w:w="1042"/>
        <w:gridCol w:w="1280"/>
        <w:gridCol w:w="1280"/>
        <w:gridCol w:w="5230"/>
      </w:tblGrid>
      <w:tr w:rsidR="00000000" w14:paraId="5E13D075" w14:textId="77777777">
        <w:trPr>
          <w:cantSplit/>
          <w:tblHeader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4B223B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Titolo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6D14B6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Tipo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C07DCF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Controllo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A7330F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Owner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5E9D85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Data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CDAD57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Stato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7FBB06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Freshness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36958C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Note</w:t>
            </w:r>
          </w:p>
        </w:tc>
      </w:tr>
      <w:tr w:rsidR="00000000" w14:paraId="10B7654D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3105FA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Policy sicurezza informazioni v3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BF09C2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Policy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E62B52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Governance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18CC71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Compliance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67FB39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05/03/2026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1D6A09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Approvata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79BB2F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Aggiornata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0EB15F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Approvata da Direzione, repository documentale DOC-SEC-001.</w:t>
            </w:r>
          </w:p>
        </w:tc>
      </w:tr>
      <w:tr w:rsidR="00000000" w14:paraId="42249D4C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B60201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Incident Response Plan v1.4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77C1B1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Procedura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4EA1A1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Incident response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9B80EB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CISO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AD92A2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09/04/2025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DF33D6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Da aggiornare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D44A33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Da aggiornare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2F3583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Aggiornare contatti escalation e criteri incidente significativo.</w:t>
            </w:r>
          </w:p>
        </w:tc>
      </w:tr>
      <w:tr w:rsidR="00000000" w14:paraId="28BF6D86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B33F5F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Report test restore backup EHR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92D7B6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Report tecnico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6A1D70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Business continuity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F80DA1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IT Operations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2FBF51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19/04/2026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CB5A92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Presente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5E6C35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Aggiornata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69E692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Restore applicativo completato, test end-to-end da pianificare.</w:t>
            </w:r>
          </w:p>
        </w:tc>
      </w:tr>
      <w:tr w:rsidR="00000000" w14:paraId="0F803D8C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D9693F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Questionario cyber EuroCloud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A77F3C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Registro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C90979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Supply chain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7D375B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Procurement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C17413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N/D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8EEAD2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Mancante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D3661D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Critica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01289F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In attesa di compilazione fornitore.</w:t>
            </w:r>
          </w:p>
        </w:tc>
      </w:tr>
    </w:tbl>
    <w:p w14:paraId="45C5D8E9" w14:textId="77777777" w:rsidR="00000000" w:rsidRDefault="00000000">
      <w:pPr>
        <w:pStyle w:val="Titolo2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9. Incident desk</w:t>
      </w:r>
    </w:p>
    <w:tbl>
      <w:tblPr>
        <w:tblW w:w="1570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93"/>
        <w:gridCol w:w="1306"/>
        <w:gridCol w:w="665"/>
        <w:gridCol w:w="1375"/>
        <w:gridCol w:w="1277"/>
        <w:gridCol w:w="1103"/>
        <w:gridCol w:w="4473"/>
        <w:gridCol w:w="3314"/>
      </w:tblGrid>
      <w:tr w:rsidR="00000000" w14:paraId="0FCD4FA8" w14:textId="77777777">
        <w:trPr>
          <w:cantSplit/>
          <w:tblHeader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1F2D33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Evento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15CD1B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Servizio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6A348B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Severità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6E60A8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Rilevazione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7EF4A8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Stato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7CB2E3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Notifica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E790D9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Impatto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AC9B45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Note</w:t>
            </w:r>
          </w:p>
        </w:tc>
      </w:tr>
      <w:tr w:rsidR="00000000" w14:paraId="3C536D13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758C3D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Tentativo phishing su amministratori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91E072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Identity provider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5C388D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Alta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F24979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20/05/2026, 19:12:00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F9860B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Post-incident review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981ABA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Non significativo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463D65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Nessuna compromissione confermata; reset credenziali e hunting completato.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AE0DC6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Aggiornare playbook e rafforzare MFA phishing resistant.</w:t>
            </w:r>
          </w:p>
        </w:tc>
      </w:tr>
      <w:tr w:rsidR="00000000" w14:paraId="5C387678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8C4D63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Degrado portale prenotazioni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81C6DB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Portale prenotazioni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B664A5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Media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400AC6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23/05/2026, 19:12:00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EA18EF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Risolto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CB5BD9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Da valutare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8F5133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Intermittenza 42 minuti, nessun dato compromesso.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2AE24C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Analisi con provider connettività.</w:t>
            </w:r>
          </w:p>
        </w:tc>
      </w:tr>
    </w:tbl>
    <w:p w14:paraId="7D25B2E8" w14:textId="77777777" w:rsidR="00000000" w:rsidRDefault="00000000">
      <w:pPr>
        <w:pStyle w:val="Titolo2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10. Piano azioni e remediation</w:t>
      </w:r>
    </w:p>
    <w:tbl>
      <w:tblPr>
        <w:tblW w:w="1570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29"/>
        <w:gridCol w:w="1423"/>
        <w:gridCol w:w="709"/>
        <w:gridCol w:w="1603"/>
        <w:gridCol w:w="953"/>
        <w:gridCol w:w="917"/>
        <w:gridCol w:w="772"/>
        <w:gridCol w:w="4900"/>
      </w:tblGrid>
      <w:tr w:rsidR="00000000" w14:paraId="0CEF754A" w14:textId="77777777">
        <w:trPr>
          <w:cantSplit/>
          <w:tblHeader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4D5BE7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Azione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CB7CDD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Area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822338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Priorità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8DFBC7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Owner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00D25E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Scadenza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932828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Stato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784F5E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Scaduta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896B8B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Note</w:t>
            </w:r>
          </w:p>
        </w:tc>
      </w:tr>
      <w:tr w:rsidR="00000000" w14:paraId="5BC16D06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7342EE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Eseguire esercitazione ransomware end-to-end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DB78A5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Incident response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B01B5F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Critica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16E5A6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CISO / SOC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74FEDA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18/06/2026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61BA19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In corso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2D472B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No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1020A6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Coinvolgere direzione, IT, legale, comunicazione e fornitore cloud.</w:t>
            </w:r>
          </w:p>
        </w:tc>
      </w:tr>
      <w:tr w:rsidR="00000000" w14:paraId="54626FEA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806E86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Aggiornare criteri significatività incidente e timeline notifiche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1CE160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Incident response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FED96B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Alta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E7CAE5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Compliance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5F71C2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07/06/2026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9BECA7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Da avviare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D29FF4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No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4F32F4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Allineare procedura, registro incidenti e template comunicazioni.</w:t>
            </w:r>
          </w:p>
        </w:tc>
      </w:tr>
      <w:tr w:rsidR="00000000" w14:paraId="2FF514BC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6C4377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Completare vendor risk assessment EuroCloud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6515CE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Supply chain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02570D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Critica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D2780B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Procurement / CISO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543489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03/06/2026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702CE3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In corso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76AE06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No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FEE071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Richiedere SOC report, test DR, subfornitori e data residency.</w:t>
            </w:r>
          </w:p>
        </w:tc>
      </w:tr>
      <w:tr w:rsidR="00000000" w14:paraId="2BF0D01F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294749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Aggiornare Incident Response Plan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A0B74E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Evidence &amp; audit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A4E182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Alta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6C1E94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CISO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DDF23F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19/05/2026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A35CF7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Da avviare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322FCC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Sì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606433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Azione scaduta volutamente nella demo per mostrare KPI.</w:t>
            </w:r>
          </w:p>
        </w:tc>
      </w:tr>
    </w:tbl>
    <w:p w14:paraId="506CF5B3" w14:textId="77777777" w:rsidR="00000000" w:rsidRDefault="00000000">
      <w:pPr>
        <w:pStyle w:val="Titolo2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11. Matrici</w:t>
      </w:r>
    </w:p>
    <w:p w14:paraId="7F1AB5F5" w14:textId="77777777" w:rsidR="00000000" w:rsidRDefault="00000000">
      <w:pPr>
        <w:pStyle w:val="NormaleWeb"/>
        <w:shd w:val="clear" w:color="auto" w:fill="F4F8FF"/>
        <w:divId w:val="1878009246"/>
        <w:rPr>
          <w:rFonts w:ascii="Arial" w:hAnsi="Arial" w:cs="Arial"/>
          <w:color w:val="14213D"/>
        </w:rPr>
      </w:pPr>
      <w:r>
        <w:rPr>
          <w:rFonts w:ascii="Arial" w:hAnsi="Arial" w:cs="Arial"/>
          <w:color w:val="14213D"/>
        </w:rPr>
        <w:t>Le matrici esportate sono impostate a larghezza pagina, con bordi neri e celle colorate in base al livello di rischio o allo stato di conformità.</w:t>
      </w:r>
    </w:p>
    <w:p w14:paraId="3EC3615A" w14:textId="77777777" w:rsidR="00000000" w:rsidRDefault="00000000">
      <w:pPr>
        <w:pStyle w:val="Titolo3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Matrice probabilità × impatto</w:t>
      </w:r>
    </w:p>
    <w:tbl>
      <w:tblPr>
        <w:tblW w:w="1570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6"/>
        <w:gridCol w:w="2450"/>
        <w:gridCol w:w="2450"/>
        <w:gridCol w:w="2450"/>
        <w:gridCol w:w="2450"/>
        <w:gridCol w:w="2450"/>
      </w:tblGrid>
      <w:tr w:rsidR="00000000" w14:paraId="720DDFAA" w14:textId="77777777">
        <w:trPr>
          <w:cantSplit/>
          <w:tblHeader/>
        </w:trPr>
        <w:tc>
          <w:tcPr>
            <w:tcW w:w="11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87AA285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Impatto ↓ / Probabilità →</w:t>
            </w:r>
          </w:p>
        </w:tc>
        <w:tc>
          <w:tcPr>
            <w:tcW w:w="7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3B9A694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P1</w:t>
            </w:r>
          </w:p>
        </w:tc>
        <w:tc>
          <w:tcPr>
            <w:tcW w:w="7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4384293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P2</w:t>
            </w:r>
          </w:p>
        </w:tc>
        <w:tc>
          <w:tcPr>
            <w:tcW w:w="7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D5ECDD4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P3</w:t>
            </w:r>
          </w:p>
        </w:tc>
        <w:tc>
          <w:tcPr>
            <w:tcW w:w="7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90B2257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P4</w:t>
            </w:r>
          </w:p>
        </w:tc>
        <w:tc>
          <w:tcPr>
            <w:tcW w:w="7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B316C20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P5</w:t>
            </w:r>
          </w:p>
        </w:tc>
      </w:tr>
      <w:tr w:rsidR="00000000" w14:paraId="52EE2D1F" w14:textId="77777777">
        <w:tc>
          <w:tcPr>
            <w:tcW w:w="11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94A6702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Impatto 5</w:t>
            </w:r>
          </w:p>
        </w:tc>
        <w:tc>
          <w:tcPr>
            <w:tcW w:w="7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1AD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65E8115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Medio</w:t>
            </w: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br/>
            </w: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Score 5</w:t>
            </w: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br/>
            </w: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Scenari: 0</w:t>
            </w:r>
          </w:p>
        </w:tc>
        <w:tc>
          <w:tcPr>
            <w:tcW w:w="7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7A8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28AD5CE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Alto</w:t>
            </w: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br/>
            </w: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Score 10</w:t>
            </w: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br/>
            </w:r>
            <w:r>
              <w:rPr>
                <w:rFonts w:ascii="Arial" w:eastAsia="Times New Roman" w:hAnsi="Arial" w:cs="Arial"/>
                <w:b/>
                <w:bCs/>
                <w:color w:val="14213D"/>
                <w:sz w:val="15"/>
                <w:szCs w:val="15"/>
              </w:rPr>
              <w:t>Scenari: 1</w:t>
            </w:r>
          </w:p>
        </w:tc>
        <w:tc>
          <w:tcPr>
            <w:tcW w:w="7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2CB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338E4C7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Critico</w:t>
            </w: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br/>
            </w: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Score 15</w:t>
            </w: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br/>
            </w: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Scenari: 0</w:t>
            </w:r>
          </w:p>
        </w:tc>
        <w:tc>
          <w:tcPr>
            <w:tcW w:w="7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2CB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8AD6ED3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Critico</w:t>
            </w: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br/>
            </w: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Score 20</w:t>
            </w: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br/>
            </w:r>
            <w:r>
              <w:rPr>
                <w:rFonts w:ascii="Arial" w:eastAsia="Times New Roman" w:hAnsi="Arial" w:cs="Arial"/>
                <w:b/>
                <w:bCs/>
                <w:color w:val="14213D"/>
                <w:sz w:val="15"/>
                <w:szCs w:val="15"/>
              </w:rPr>
              <w:t>Scenari: 1</w:t>
            </w:r>
          </w:p>
        </w:tc>
        <w:tc>
          <w:tcPr>
            <w:tcW w:w="7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2CB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0817EE7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Critico</w:t>
            </w: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br/>
            </w: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Score 25</w:t>
            </w: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br/>
            </w: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Scenari: 0</w:t>
            </w:r>
          </w:p>
        </w:tc>
      </w:tr>
      <w:tr w:rsidR="00000000" w14:paraId="07F22765" w14:textId="77777777">
        <w:tc>
          <w:tcPr>
            <w:tcW w:w="11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645E9DD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Impatto 4</w:t>
            </w:r>
          </w:p>
        </w:tc>
        <w:tc>
          <w:tcPr>
            <w:tcW w:w="7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F2D8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3297078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Basso</w:t>
            </w: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br/>
            </w: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Score 4</w:t>
            </w: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br/>
            </w: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Scenari: 0</w:t>
            </w:r>
          </w:p>
        </w:tc>
        <w:tc>
          <w:tcPr>
            <w:tcW w:w="7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1AD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7CC7360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Medio</w:t>
            </w: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br/>
            </w: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Score 8</w:t>
            </w: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br/>
            </w: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Scenari: 0</w:t>
            </w:r>
          </w:p>
        </w:tc>
        <w:tc>
          <w:tcPr>
            <w:tcW w:w="7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7A8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973042A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Alto</w:t>
            </w: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br/>
            </w: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Score 12</w:t>
            </w: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br/>
            </w:r>
            <w:r>
              <w:rPr>
                <w:rFonts w:ascii="Arial" w:eastAsia="Times New Roman" w:hAnsi="Arial" w:cs="Arial"/>
                <w:b/>
                <w:bCs/>
                <w:color w:val="14213D"/>
                <w:sz w:val="15"/>
                <w:szCs w:val="15"/>
              </w:rPr>
              <w:t>Scenari: 1</w:t>
            </w:r>
          </w:p>
        </w:tc>
        <w:tc>
          <w:tcPr>
            <w:tcW w:w="7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2CB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C739461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Critico</w:t>
            </w: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br/>
            </w: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Score 16</w:t>
            </w: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br/>
            </w: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Scenari: 0</w:t>
            </w:r>
          </w:p>
        </w:tc>
        <w:tc>
          <w:tcPr>
            <w:tcW w:w="7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2CB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9100DE7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Critico</w:t>
            </w: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br/>
            </w: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Score 20</w:t>
            </w: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br/>
            </w: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Scenari: 0</w:t>
            </w:r>
          </w:p>
        </w:tc>
      </w:tr>
      <w:tr w:rsidR="00000000" w14:paraId="0A357BCE" w14:textId="77777777">
        <w:tc>
          <w:tcPr>
            <w:tcW w:w="11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FDE0450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Impatto 3</w:t>
            </w:r>
          </w:p>
        </w:tc>
        <w:tc>
          <w:tcPr>
            <w:tcW w:w="7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F2D8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3585ADD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Basso</w:t>
            </w: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br/>
            </w: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Score 3</w:t>
            </w: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br/>
            </w: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Scenari: 0</w:t>
            </w:r>
          </w:p>
        </w:tc>
        <w:tc>
          <w:tcPr>
            <w:tcW w:w="7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1AD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FA2960B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Medio</w:t>
            </w: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br/>
            </w: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Score 6</w:t>
            </w: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br/>
            </w: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Scenari: 0</w:t>
            </w:r>
          </w:p>
        </w:tc>
        <w:tc>
          <w:tcPr>
            <w:tcW w:w="7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1AD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B6301F4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Medio</w:t>
            </w: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br/>
            </w: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Score 9</w:t>
            </w: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br/>
            </w:r>
            <w:r>
              <w:rPr>
                <w:rFonts w:ascii="Arial" w:eastAsia="Times New Roman" w:hAnsi="Arial" w:cs="Arial"/>
                <w:b/>
                <w:bCs/>
                <w:color w:val="14213D"/>
                <w:sz w:val="15"/>
                <w:szCs w:val="15"/>
              </w:rPr>
              <w:t>Scenari: 1</w:t>
            </w:r>
          </w:p>
        </w:tc>
        <w:tc>
          <w:tcPr>
            <w:tcW w:w="7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7A8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04EE54E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Alto</w:t>
            </w: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br/>
            </w: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Score 12</w:t>
            </w: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br/>
            </w: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Scenari: 0</w:t>
            </w:r>
          </w:p>
        </w:tc>
        <w:tc>
          <w:tcPr>
            <w:tcW w:w="7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2CB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DBF97F6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Critico</w:t>
            </w: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br/>
            </w: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Score 15</w:t>
            </w: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br/>
            </w: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Scenari: 0</w:t>
            </w:r>
          </w:p>
        </w:tc>
      </w:tr>
      <w:tr w:rsidR="00000000" w14:paraId="24A48EE6" w14:textId="77777777">
        <w:tc>
          <w:tcPr>
            <w:tcW w:w="11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0DB5398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Impatto 2</w:t>
            </w:r>
          </w:p>
        </w:tc>
        <w:tc>
          <w:tcPr>
            <w:tcW w:w="7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F2D8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922CC2E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Basso</w:t>
            </w: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br/>
            </w: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Score 2</w:t>
            </w: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br/>
            </w: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Scenari: 0</w:t>
            </w:r>
          </w:p>
        </w:tc>
        <w:tc>
          <w:tcPr>
            <w:tcW w:w="7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F2D8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6FFD203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Basso</w:t>
            </w: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br/>
            </w: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Score 4</w:t>
            </w: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br/>
            </w: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Scenari: 0</w:t>
            </w:r>
          </w:p>
        </w:tc>
        <w:tc>
          <w:tcPr>
            <w:tcW w:w="7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1AD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F2873A4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Medio</w:t>
            </w: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br/>
            </w: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Score 6</w:t>
            </w: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br/>
            </w: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Scenari: 0</w:t>
            </w:r>
          </w:p>
        </w:tc>
        <w:tc>
          <w:tcPr>
            <w:tcW w:w="7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1AD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DE9170B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Medio</w:t>
            </w: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br/>
            </w: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Score 8</w:t>
            </w: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br/>
            </w: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Scenari: 0</w:t>
            </w:r>
          </w:p>
        </w:tc>
        <w:tc>
          <w:tcPr>
            <w:tcW w:w="7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7A8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225F13E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Alto</w:t>
            </w: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br/>
            </w: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Score 10</w:t>
            </w: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br/>
            </w: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Scenari: 0</w:t>
            </w:r>
          </w:p>
        </w:tc>
      </w:tr>
      <w:tr w:rsidR="00000000" w14:paraId="61897426" w14:textId="77777777">
        <w:tc>
          <w:tcPr>
            <w:tcW w:w="11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80AC9F2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Impatto 1</w:t>
            </w:r>
          </w:p>
        </w:tc>
        <w:tc>
          <w:tcPr>
            <w:tcW w:w="7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F2D8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0F23231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Basso</w:t>
            </w: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br/>
            </w: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Score 1</w:t>
            </w: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br/>
            </w: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Scenari: 0</w:t>
            </w:r>
          </w:p>
        </w:tc>
        <w:tc>
          <w:tcPr>
            <w:tcW w:w="7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F2D8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67C3D25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Basso</w:t>
            </w: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br/>
            </w: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Score 2</w:t>
            </w: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br/>
            </w: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Scenari: 0</w:t>
            </w:r>
          </w:p>
        </w:tc>
        <w:tc>
          <w:tcPr>
            <w:tcW w:w="7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F2D8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74288E2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Basso</w:t>
            </w: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br/>
            </w: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Score 3</w:t>
            </w: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br/>
            </w: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Scenari: 0</w:t>
            </w:r>
          </w:p>
        </w:tc>
        <w:tc>
          <w:tcPr>
            <w:tcW w:w="7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F2D8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E8A3B24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Basso</w:t>
            </w: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br/>
            </w: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Score 4</w:t>
            </w: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br/>
            </w: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Scenari: 0</w:t>
            </w:r>
          </w:p>
        </w:tc>
        <w:tc>
          <w:tcPr>
            <w:tcW w:w="7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1AD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80BA36E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Medio</w:t>
            </w: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br/>
            </w: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Score 5</w:t>
            </w: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br/>
            </w:r>
            <w:r>
              <w:rPr>
                <w:rFonts w:ascii="Arial" w:eastAsia="Times New Roman" w:hAnsi="Arial" w:cs="Arial"/>
                <w:color w:val="14213D"/>
                <w:sz w:val="14"/>
                <w:szCs w:val="14"/>
              </w:rPr>
              <w:t>Scenari: 0</w:t>
            </w:r>
          </w:p>
        </w:tc>
      </w:tr>
    </w:tbl>
    <w:p w14:paraId="7139B0B1" w14:textId="77777777" w:rsidR="00000000" w:rsidRDefault="00000000">
      <w:pPr>
        <w:pStyle w:val="Titolo3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Matrice stato conformità per area</w:t>
      </w:r>
    </w:p>
    <w:tbl>
      <w:tblPr>
        <w:tblW w:w="1570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1"/>
        <w:gridCol w:w="1990"/>
        <w:gridCol w:w="1989"/>
        <w:gridCol w:w="1989"/>
        <w:gridCol w:w="1989"/>
        <w:gridCol w:w="1989"/>
        <w:gridCol w:w="1989"/>
      </w:tblGrid>
      <w:tr w:rsidR="00000000" w14:paraId="2FF7045D" w14:textId="77777777">
        <w:trPr>
          <w:cantSplit/>
          <w:tblHeader/>
        </w:trPr>
        <w:tc>
          <w:tcPr>
            <w:tcW w:w="12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D3C5CCD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Area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FC110E5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Non avviato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CB1F4A9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Parziale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203DE92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In corso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97E6573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Conforme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106C186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Non conforme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B3AF5DD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Non applicabile</w:t>
            </w:r>
          </w:p>
        </w:tc>
      </w:tr>
      <w:tr w:rsidR="00000000" w14:paraId="4DAD163D" w14:textId="77777777">
        <w:tc>
          <w:tcPr>
            <w:tcW w:w="12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26F3EE6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Asset e servizi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7A8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0CCD298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0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1AD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CB817A3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0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1AD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D6FC353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1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F2D8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3A50B6B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0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2CB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DB3A730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0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EF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021D9CB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0</w:t>
            </w:r>
          </w:p>
        </w:tc>
      </w:tr>
      <w:tr w:rsidR="00000000" w14:paraId="3970FC7D" w14:textId="77777777">
        <w:tc>
          <w:tcPr>
            <w:tcW w:w="12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43B05AB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Business continuity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7A8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7552CFD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0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1AD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9ABC4C5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1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1AD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DA891C1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0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F2D8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6EC914D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0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2CB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C8EF7EF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0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EF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3CA782B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0</w:t>
            </w:r>
          </w:p>
        </w:tc>
      </w:tr>
      <w:tr w:rsidR="00000000" w14:paraId="403EDF09" w14:textId="77777777">
        <w:tc>
          <w:tcPr>
            <w:tcW w:w="12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E930C6B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Data protection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7A8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A5049E0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0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1AD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52EEA84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0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1AD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3E7C97B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1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F2D8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E29535D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0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2CB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2701544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0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EF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0EC9C8E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0</w:t>
            </w:r>
          </w:p>
        </w:tc>
      </w:tr>
      <w:tr w:rsidR="00000000" w14:paraId="64293A4F" w14:textId="77777777">
        <w:tc>
          <w:tcPr>
            <w:tcW w:w="12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6FF2207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Evidence &amp; audit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7A8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4C94481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0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1AD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855DA28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1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1AD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09F33CF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0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F2D8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69348AB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0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2CB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B579201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0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EF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988E797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0</w:t>
            </w:r>
          </w:p>
        </w:tc>
      </w:tr>
      <w:tr w:rsidR="00000000" w14:paraId="2F4903CC" w14:textId="77777777">
        <w:tc>
          <w:tcPr>
            <w:tcW w:w="12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CAEDA38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Governance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7A8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AF650EF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0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1AD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68BE2AD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0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1AD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F83D872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1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F2D8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0135FD7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0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2CB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2506716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0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EF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18FA8BB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0</w:t>
            </w:r>
          </w:p>
        </w:tc>
      </w:tr>
      <w:tr w:rsidR="00000000" w14:paraId="1F10FD43" w14:textId="77777777">
        <w:tc>
          <w:tcPr>
            <w:tcW w:w="12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F237850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IAM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7A8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ECB4851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0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1AD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7A20831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0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1AD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E21258E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0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F2D8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8AA85B0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1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2CB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0D78741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0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EF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76CAC0A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0</w:t>
            </w:r>
          </w:p>
        </w:tc>
      </w:tr>
      <w:tr w:rsidR="00000000" w14:paraId="28A01E04" w14:textId="77777777">
        <w:tc>
          <w:tcPr>
            <w:tcW w:w="12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9D0B01B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Incident response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7A8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600E191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0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1AD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ADA1E69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1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1AD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CCD9ED3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0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F2D8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752E816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0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2CB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29E48E5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0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EF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D5F35CF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0</w:t>
            </w:r>
          </w:p>
        </w:tc>
      </w:tr>
      <w:tr w:rsidR="00000000" w14:paraId="6415F58A" w14:textId="77777777">
        <w:tc>
          <w:tcPr>
            <w:tcW w:w="12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1AC54CC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Monitoring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7A8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B3DEBAD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0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1AD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1873652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0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1AD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B3BC5F8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1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F2D8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F26C7A9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0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2CB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DC66EF1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0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EF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09AF781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0</w:t>
            </w:r>
          </w:p>
        </w:tc>
      </w:tr>
      <w:tr w:rsidR="00000000" w14:paraId="112660D7" w14:textId="77777777">
        <w:tc>
          <w:tcPr>
            <w:tcW w:w="12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9799BA1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Risk management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7A8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95449EE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0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1AD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1A4EC28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1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1AD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F0472F4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0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F2D8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8BACBDD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0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2CB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12BBEBC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0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EF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640DB35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0</w:t>
            </w:r>
          </w:p>
        </w:tc>
      </w:tr>
      <w:tr w:rsidR="00000000" w14:paraId="5E2E7752" w14:textId="77777777">
        <w:tc>
          <w:tcPr>
            <w:tcW w:w="12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85DD0C1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Supply chain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7A8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21E3BE1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0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1AD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CEBF052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1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1AD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26F3B80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0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F2D8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04A82CE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0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2CB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588E27E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0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EF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F65C474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0</w:t>
            </w:r>
          </w:p>
        </w:tc>
      </w:tr>
      <w:tr w:rsidR="00000000" w14:paraId="7E8DF177" w14:textId="77777777">
        <w:tc>
          <w:tcPr>
            <w:tcW w:w="12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7A4752F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Training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7A8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B30513C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0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1AD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7A93760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1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1AD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1BE29C7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0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F2D8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7559135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0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2CB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8B076E4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0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EF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4CE0475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0</w:t>
            </w:r>
          </w:p>
        </w:tc>
      </w:tr>
      <w:tr w:rsidR="00000000" w14:paraId="5F4F7352" w14:textId="77777777">
        <w:tc>
          <w:tcPr>
            <w:tcW w:w="12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67550D4" w14:textId="77777777" w:rsidR="00000000" w:rsidRDefault="00000000">
            <w:pPr>
              <w:spacing w:before="100" w:after="200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Vulnerability management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7A8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DAA8C62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0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1AD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2D894B9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0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1AD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9CE4045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1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F2D8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8846059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0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2CB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9710289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0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EF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F7B1131" w14:textId="77777777" w:rsidR="00000000" w:rsidRDefault="00000000">
            <w:pPr>
              <w:spacing w:before="100" w:after="200"/>
              <w:jc w:val="center"/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14213D"/>
                <w:sz w:val="14"/>
                <w:szCs w:val="14"/>
              </w:rPr>
              <w:t>0</w:t>
            </w:r>
          </w:p>
        </w:tc>
      </w:tr>
    </w:tbl>
    <w:p w14:paraId="0607E7A3" w14:textId="77777777" w:rsidR="00000000" w:rsidRDefault="00000000">
      <w:pPr>
        <w:pStyle w:val="Titolo2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12. Grafici</w:t>
      </w:r>
    </w:p>
    <w:p w14:paraId="784DF954" w14:textId="77777777" w:rsidR="00000000" w:rsidRDefault="00000000">
      <w:pPr>
        <w:pStyle w:val="Titolo3"/>
        <w:divId w:val="355813466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Compliance per area</w:t>
      </w:r>
    </w:p>
    <w:p w14:paraId="626316A8" w14:textId="77777777" w:rsidR="00000000" w:rsidRDefault="00000000">
      <w:pPr>
        <w:divId w:val="355813466"/>
        <w:rPr>
          <w:rFonts w:ascii="Arial" w:eastAsia="Times New Roman" w:hAnsi="Arial" w:cs="Arial"/>
          <w:color w:val="14213D"/>
          <w:sz w:val="18"/>
          <w:szCs w:val="18"/>
        </w:rPr>
      </w:pPr>
      <w:r>
        <w:rPr>
          <w:rFonts w:ascii="Arial" w:eastAsia="Times New Roman" w:hAnsi="Arial" w:cs="Arial"/>
          <w:noProof/>
          <w:color w:val="14213D"/>
          <w:sz w:val="18"/>
          <w:szCs w:val="18"/>
        </w:rPr>
        <w:drawing>
          <wp:inline distT="0" distB="0" distL="0" distR="0" wp14:anchorId="3AB2C62B" wp14:editId="776940CD">
            <wp:extent cx="9357360" cy="4137660"/>
            <wp:effectExtent l="0" t="0" r="0" b="0"/>
            <wp:docPr id="1" name="Immagine 1" descr="Compliance per ar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mpliance per are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7360" cy="4137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6910B6" w14:textId="77777777" w:rsidR="00000000" w:rsidRDefault="00000000">
      <w:pPr>
        <w:pStyle w:val="Titolo3"/>
        <w:divId w:val="124985151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Distribuzione stato controlli</w:t>
      </w:r>
    </w:p>
    <w:p w14:paraId="6FB2DC3F" w14:textId="77777777" w:rsidR="00000000" w:rsidRDefault="00000000">
      <w:pPr>
        <w:divId w:val="1249851519"/>
        <w:rPr>
          <w:rFonts w:ascii="Arial" w:eastAsia="Times New Roman" w:hAnsi="Arial" w:cs="Arial"/>
          <w:color w:val="14213D"/>
          <w:sz w:val="18"/>
          <w:szCs w:val="18"/>
        </w:rPr>
      </w:pPr>
      <w:r>
        <w:rPr>
          <w:rFonts w:ascii="Arial" w:eastAsia="Times New Roman" w:hAnsi="Arial" w:cs="Arial"/>
          <w:noProof/>
          <w:color w:val="14213D"/>
          <w:sz w:val="18"/>
          <w:szCs w:val="18"/>
        </w:rPr>
        <w:drawing>
          <wp:inline distT="0" distB="0" distL="0" distR="0" wp14:anchorId="1BE7E8DE" wp14:editId="2ADD51CF">
            <wp:extent cx="9357360" cy="2552700"/>
            <wp:effectExtent l="0" t="0" r="0" b="0"/>
            <wp:docPr id="2" name="Immagine 2" descr="Distribuzione stato controll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istribuzione stato controlli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7360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B85DB0" w14:textId="77777777" w:rsidR="00000000" w:rsidRDefault="00000000">
      <w:pPr>
        <w:pStyle w:val="Titolo3"/>
        <w:divId w:val="2060472195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Rischi per classe</w:t>
      </w:r>
    </w:p>
    <w:p w14:paraId="2AEF0C12" w14:textId="77777777" w:rsidR="00000000" w:rsidRDefault="00000000">
      <w:pPr>
        <w:divId w:val="2060472195"/>
        <w:rPr>
          <w:rFonts w:ascii="Arial" w:eastAsia="Times New Roman" w:hAnsi="Arial" w:cs="Arial"/>
          <w:color w:val="14213D"/>
          <w:sz w:val="18"/>
          <w:szCs w:val="18"/>
        </w:rPr>
      </w:pPr>
      <w:r>
        <w:rPr>
          <w:rFonts w:ascii="Arial" w:eastAsia="Times New Roman" w:hAnsi="Arial" w:cs="Arial"/>
          <w:noProof/>
          <w:color w:val="14213D"/>
          <w:sz w:val="18"/>
          <w:szCs w:val="18"/>
        </w:rPr>
        <w:drawing>
          <wp:inline distT="0" distB="0" distL="0" distR="0" wp14:anchorId="07983EC8" wp14:editId="76AD2431">
            <wp:extent cx="9357360" cy="2552700"/>
            <wp:effectExtent l="0" t="0" r="0" b="0"/>
            <wp:docPr id="3" name="Immagine 3" descr="Rischi per clas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ischi per class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7360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AECDEE" w14:textId="77777777" w:rsidR="00000000" w:rsidRDefault="00000000">
      <w:pPr>
        <w:pStyle w:val="Titolo3"/>
        <w:divId w:val="2010329686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Azioni e fornitori critici</w:t>
      </w:r>
    </w:p>
    <w:p w14:paraId="601EF08F" w14:textId="77777777" w:rsidR="00000000" w:rsidRDefault="00000000">
      <w:pPr>
        <w:divId w:val="2010329686"/>
        <w:rPr>
          <w:rFonts w:ascii="Arial" w:eastAsia="Times New Roman" w:hAnsi="Arial" w:cs="Arial"/>
          <w:color w:val="14213D"/>
          <w:sz w:val="18"/>
          <w:szCs w:val="18"/>
        </w:rPr>
      </w:pPr>
      <w:r>
        <w:rPr>
          <w:rFonts w:ascii="Arial" w:eastAsia="Times New Roman" w:hAnsi="Arial" w:cs="Arial"/>
          <w:noProof/>
          <w:color w:val="14213D"/>
          <w:sz w:val="18"/>
          <w:szCs w:val="18"/>
        </w:rPr>
        <w:drawing>
          <wp:inline distT="0" distB="0" distL="0" distR="0" wp14:anchorId="6B526C13" wp14:editId="540913E8">
            <wp:extent cx="9357360" cy="2552700"/>
            <wp:effectExtent l="0" t="0" r="0" b="0"/>
            <wp:docPr id="4" name="Immagine 4" descr="Azioni e fornitori criti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zioni e fornitori critici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7360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FF9AA2" w14:textId="77777777" w:rsidR="00000000" w:rsidRDefault="00000000">
      <w:pPr>
        <w:pStyle w:val="Titolo2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13. Raccomandazioni operative</w:t>
      </w:r>
    </w:p>
    <w:p w14:paraId="71DBF5EA" w14:textId="77777777" w:rsidR="00000000" w:rsidRDefault="00000000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14213D"/>
          <w:sz w:val="18"/>
          <w:szCs w:val="18"/>
        </w:rPr>
      </w:pPr>
      <w:r>
        <w:rPr>
          <w:rFonts w:ascii="Arial" w:eastAsia="Times New Roman" w:hAnsi="Arial" w:cs="Arial"/>
          <w:color w:val="14213D"/>
          <w:sz w:val="18"/>
          <w:szCs w:val="18"/>
        </w:rPr>
        <w:t>Consolidare i controlli parziali, chiudere le non conformità e associare evidenze aggiornate a ogni requisito rilevante.</w:t>
      </w:r>
    </w:p>
    <w:p w14:paraId="1E7613A3" w14:textId="77777777" w:rsidR="00000000" w:rsidRDefault="00000000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14213D"/>
          <w:sz w:val="18"/>
          <w:szCs w:val="18"/>
        </w:rPr>
      </w:pPr>
      <w:r>
        <w:rPr>
          <w:rFonts w:ascii="Arial" w:eastAsia="Times New Roman" w:hAnsi="Arial" w:cs="Arial"/>
          <w:color w:val="14213D"/>
          <w:sz w:val="18"/>
          <w:szCs w:val="18"/>
        </w:rPr>
        <w:t>Trattare prioritariamente i rischi critici con owner, budget, scadenza e verifica di efficacia.</w:t>
      </w:r>
    </w:p>
    <w:p w14:paraId="32DC10FC" w14:textId="77777777" w:rsidR="00000000" w:rsidRDefault="00000000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14213D"/>
          <w:sz w:val="18"/>
          <w:szCs w:val="18"/>
        </w:rPr>
      </w:pPr>
      <w:r>
        <w:rPr>
          <w:rFonts w:ascii="Arial" w:eastAsia="Times New Roman" w:hAnsi="Arial" w:cs="Arial"/>
          <w:color w:val="14213D"/>
          <w:sz w:val="18"/>
          <w:szCs w:val="18"/>
        </w:rPr>
        <w:t>Rivalutare fornitori critici, contratti, SLA, subfornitori, data residency, exit strategy e prove di continuità.</w:t>
      </w:r>
    </w:p>
    <w:p w14:paraId="3F8452F0" w14:textId="77777777" w:rsidR="00000000" w:rsidRDefault="00000000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14213D"/>
          <w:sz w:val="18"/>
          <w:szCs w:val="18"/>
        </w:rPr>
      </w:pPr>
      <w:r>
        <w:rPr>
          <w:rFonts w:ascii="Arial" w:eastAsia="Times New Roman" w:hAnsi="Arial" w:cs="Arial"/>
          <w:color w:val="14213D"/>
          <w:sz w:val="18"/>
          <w:szCs w:val="18"/>
        </w:rPr>
        <w:t>Aggiornare evidenze mancanti, scadute o obsolete e collegarle ai controlli pertinenti.</w:t>
      </w:r>
    </w:p>
    <w:p w14:paraId="526E8E4A" w14:textId="77777777" w:rsidR="00000000" w:rsidRDefault="00000000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14213D"/>
          <w:sz w:val="18"/>
          <w:szCs w:val="18"/>
        </w:rPr>
      </w:pPr>
      <w:r>
        <w:rPr>
          <w:rFonts w:ascii="Arial" w:eastAsia="Times New Roman" w:hAnsi="Arial" w:cs="Arial"/>
          <w:color w:val="14213D"/>
          <w:sz w:val="18"/>
          <w:szCs w:val="18"/>
        </w:rPr>
        <w:t>Eseguire riesame degli incidenti rilevanti e verificare la coerenza della timeline decisionale e documentale.</w:t>
      </w:r>
    </w:p>
    <w:p w14:paraId="76558332" w14:textId="77777777" w:rsidR="00000000" w:rsidRDefault="00000000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14213D"/>
          <w:sz w:val="18"/>
          <w:szCs w:val="18"/>
        </w:rPr>
      </w:pPr>
      <w:r>
        <w:rPr>
          <w:rFonts w:ascii="Arial" w:eastAsia="Times New Roman" w:hAnsi="Arial" w:cs="Arial"/>
          <w:color w:val="14213D"/>
          <w:sz w:val="18"/>
          <w:szCs w:val="18"/>
        </w:rPr>
        <w:t>Riprogrammare o chiudere le azioni scadute, motivando eventuali rinvii e rischi residui.</w:t>
      </w:r>
    </w:p>
    <w:p w14:paraId="49971EF5" w14:textId="77777777" w:rsidR="00000000" w:rsidRDefault="00000000">
      <w:pPr>
        <w:pStyle w:val="Titolo2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14. Riferimenti metodologici inseriti nello strumento</w:t>
      </w:r>
    </w:p>
    <w:p w14:paraId="458B7857" w14:textId="77777777" w:rsidR="00000000" w:rsidRDefault="00000000">
      <w:pPr>
        <w:numPr>
          <w:ilvl w:val="0"/>
          <w:numId w:val="2"/>
        </w:numPr>
        <w:spacing w:before="100" w:beforeAutospacing="1" w:after="100" w:afterAutospacing="1"/>
        <w:rPr>
          <w:rFonts w:ascii="Arial" w:eastAsia="Times New Roman" w:hAnsi="Arial" w:cs="Arial"/>
          <w:color w:val="14213D"/>
          <w:sz w:val="18"/>
          <w:szCs w:val="18"/>
        </w:rPr>
      </w:pPr>
      <w:r>
        <w:rPr>
          <w:rFonts w:ascii="Arial" w:eastAsia="Times New Roman" w:hAnsi="Arial" w:cs="Arial"/>
          <w:color w:val="14213D"/>
          <w:sz w:val="18"/>
          <w:szCs w:val="18"/>
        </w:rPr>
        <w:t>Direttiva (UE) 2022/2555 - NIS2.</w:t>
      </w:r>
    </w:p>
    <w:p w14:paraId="12948B8F" w14:textId="77777777" w:rsidR="00000000" w:rsidRDefault="00000000">
      <w:pPr>
        <w:numPr>
          <w:ilvl w:val="0"/>
          <w:numId w:val="2"/>
        </w:numPr>
        <w:spacing w:before="100" w:beforeAutospacing="1" w:after="100" w:afterAutospacing="1"/>
        <w:rPr>
          <w:rFonts w:ascii="Arial" w:eastAsia="Times New Roman" w:hAnsi="Arial" w:cs="Arial"/>
          <w:color w:val="14213D"/>
          <w:sz w:val="18"/>
          <w:szCs w:val="18"/>
        </w:rPr>
      </w:pPr>
      <w:r>
        <w:rPr>
          <w:rFonts w:ascii="Arial" w:eastAsia="Times New Roman" w:hAnsi="Arial" w:cs="Arial"/>
          <w:color w:val="14213D"/>
          <w:sz w:val="18"/>
          <w:szCs w:val="18"/>
        </w:rPr>
        <w:t>D.Lgs. 4 settembre 2024, n. 138 - recepimento italiano della disciplina NIS.</w:t>
      </w:r>
    </w:p>
    <w:p w14:paraId="67BA9A47" w14:textId="77777777" w:rsidR="00000000" w:rsidRDefault="00000000">
      <w:pPr>
        <w:numPr>
          <w:ilvl w:val="0"/>
          <w:numId w:val="2"/>
        </w:numPr>
        <w:spacing w:before="100" w:beforeAutospacing="1" w:after="100" w:afterAutospacing="1"/>
        <w:rPr>
          <w:rFonts w:ascii="Arial" w:eastAsia="Times New Roman" w:hAnsi="Arial" w:cs="Arial"/>
          <w:color w:val="14213D"/>
          <w:sz w:val="18"/>
          <w:szCs w:val="18"/>
        </w:rPr>
      </w:pPr>
      <w:r>
        <w:rPr>
          <w:rFonts w:ascii="Arial" w:eastAsia="Times New Roman" w:hAnsi="Arial" w:cs="Arial"/>
          <w:color w:val="14213D"/>
          <w:sz w:val="18"/>
          <w:szCs w:val="18"/>
        </w:rPr>
        <w:t>Portale NIS dell’Agenzia per la Cybersicurezza Nazionale e indicazioni operative ACN/CSIRT Italia.</w:t>
      </w:r>
    </w:p>
    <w:p w14:paraId="7CBD91DF" w14:textId="77777777" w:rsidR="00000000" w:rsidRDefault="00000000">
      <w:pPr>
        <w:numPr>
          <w:ilvl w:val="0"/>
          <w:numId w:val="2"/>
        </w:numPr>
        <w:spacing w:before="100" w:beforeAutospacing="1" w:after="100" w:afterAutospacing="1"/>
        <w:rPr>
          <w:rFonts w:ascii="Arial" w:eastAsia="Times New Roman" w:hAnsi="Arial" w:cs="Arial"/>
          <w:color w:val="14213D"/>
          <w:sz w:val="18"/>
          <w:szCs w:val="18"/>
        </w:rPr>
      </w:pPr>
      <w:r>
        <w:rPr>
          <w:rFonts w:ascii="Arial" w:eastAsia="Times New Roman" w:hAnsi="Arial" w:cs="Arial"/>
          <w:color w:val="14213D"/>
          <w:sz w:val="18"/>
          <w:szCs w:val="18"/>
        </w:rPr>
        <w:t>Regolamento di esecuzione (UE) 2024/2690 per specifiche categorie di soggetti digitali.</w:t>
      </w:r>
    </w:p>
    <w:p w14:paraId="0F92106D" w14:textId="77777777" w:rsidR="00000000" w:rsidRDefault="00000000">
      <w:pPr>
        <w:numPr>
          <w:ilvl w:val="0"/>
          <w:numId w:val="2"/>
        </w:numPr>
        <w:spacing w:before="100" w:beforeAutospacing="1" w:after="100" w:afterAutospacing="1"/>
        <w:rPr>
          <w:rFonts w:ascii="Arial" w:eastAsia="Times New Roman" w:hAnsi="Arial" w:cs="Arial"/>
          <w:color w:val="14213D"/>
          <w:sz w:val="18"/>
          <w:szCs w:val="18"/>
        </w:rPr>
      </w:pPr>
      <w:r>
        <w:rPr>
          <w:rFonts w:ascii="Arial" w:eastAsia="Times New Roman" w:hAnsi="Arial" w:cs="Arial"/>
          <w:color w:val="14213D"/>
          <w:sz w:val="18"/>
          <w:szCs w:val="18"/>
        </w:rPr>
        <w:t>ENISA Technical Implementation Guidance 2025.</w:t>
      </w:r>
    </w:p>
    <w:p w14:paraId="718CD52D" w14:textId="77777777" w:rsidR="00000000" w:rsidRDefault="00000000">
      <w:pPr>
        <w:numPr>
          <w:ilvl w:val="0"/>
          <w:numId w:val="2"/>
        </w:numPr>
        <w:spacing w:before="100" w:beforeAutospacing="1" w:after="100" w:afterAutospacing="1"/>
        <w:rPr>
          <w:rFonts w:ascii="Arial" w:eastAsia="Times New Roman" w:hAnsi="Arial" w:cs="Arial"/>
          <w:color w:val="14213D"/>
          <w:sz w:val="18"/>
          <w:szCs w:val="18"/>
        </w:rPr>
      </w:pPr>
      <w:r>
        <w:rPr>
          <w:rFonts w:ascii="Arial" w:eastAsia="Times New Roman" w:hAnsi="Arial" w:cs="Arial"/>
          <w:color w:val="14213D"/>
          <w:sz w:val="18"/>
          <w:szCs w:val="18"/>
        </w:rPr>
        <w:t>Mapping operativo con logiche ISO/IEC 27001, NIST CSF, CIS Controls e buone pratiche GRC, ove applicabili.</w:t>
      </w:r>
    </w:p>
    <w:p w14:paraId="42DB064D" w14:textId="77777777" w:rsidR="00000000" w:rsidRDefault="00000000">
      <w:pPr>
        <w:pStyle w:val="Titolo2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15. Disclaimer finale</w:t>
      </w:r>
    </w:p>
    <w:p w14:paraId="678D81A0" w14:textId="77777777" w:rsidR="00D91AE8" w:rsidRDefault="00000000">
      <w:pPr>
        <w:pStyle w:val="NormaleWeb"/>
        <w:shd w:val="clear" w:color="auto" w:fill="F4F8FF"/>
        <w:divId w:val="682826215"/>
        <w:rPr>
          <w:rFonts w:ascii="Arial" w:hAnsi="Arial" w:cs="Arial"/>
          <w:color w:val="14213D"/>
        </w:rPr>
      </w:pPr>
      <w:r>
        <w:rPr>
          <w:rFonts w:ascii="Arial" w:hAnsi="Arial" w:cs="Arial"/>
          <w:color w:val="14213D"/>
        </w:rPr>
        <w:t>NIS2 Compliance Free è uno strumento di supporto tecnico-operativo. Non sostituisce valutazione professionale, sopralluogo, misure strumentali, giudizio tecnico, verifica documentale, consulenza legale, audit specialistico o obblighi di legge. I risultati dipendono dai dati inseriti dall’utente. Prima dell’uso professionale, verificare coerenza normativa e tecnica, recepimento nazionale, determinazioni dell’autorità competente, evidenze effettive e decisioni dell’organizzazione.</w:t>
      </w:r>
    </w:p>
    <w:sectPr w:rsidR="00D91AE8">
      <w:pgSz w:w="16840" w:h="11907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C7645"/>
    <w:multiLevelType w:val="multilevel"/>
    <w:tmpl w:val="320A2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AE7FCC"/>
    <w:multiLevelType w:val="multilevel"/>
    <w:tmpl w:val="0896D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57599037">
    <w:abstractNumId w:val="1"/>
  </w:num>
  <w:num w:numId="2" w16cid:durableId="1273630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noPunctuationKerning/>
  <w:characterSpacingControl w:val="doNotCompress"/>
  <w:savePreviewPicture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E65"/>
    <w:rsid w:val="007B5E65"/>
    <w:rsid w:val="00A47623"/>
    <w:rsid w:val="00D91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6100C8"/>
  <w15:chartTrackingRefBased/>
  <w15:docId w15:val="{7F5F35B2-2FAE-4FEC-B69A-7171C0EC8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eastAsiaTheme="minorEastAsia"/>
      <w:sz w:val="24"/>
      <w:szCs w:val="24"/>
    </w:rPr>
  </w:style>
  <w:style w:type="paragraph" w:styleId="Titolo1">
    <w:name w:val="heading 1"/>
    <w:basedOn w:val="Normale"/>
    <w:link w:val="Titolo1Carattere"/>
    <w:uiPriority w:val="9"/>
    <w:qFormat/>
    <w:pPr>
      <w:spacing w:after="180"/>
      <w:outlineLvl w:val="0"/>
    </w:pPr>
    <w:rPr>
      <w:b/>
      <w:bCs/>
      <w:color w:val="14213D"/>
      <w:kern w:val="36"/>
      <w:sz w:val="46"/>
      <w:szCs w:val="46"/>
    </w:rPr>
  </w:style>
  <w:style w:type="paragraph" w:styleId="Titolo2">
    <w:name w:val="heading 2"/>
    <w:basedOn w:val="Normale"/>
    <w:link w:val="Titolo2Carattere"/>
    <w:uiPriority w:val="9"/>
    <w:qFormat/>
    <w:pPr>
      <w:keepNext/>
      <w:pBdr>
        <w:bottom w:val="single" w:sz="8" w:space="4" w:color="000000"/>
      </w:pBdr>
      <w:spacing w:before="320" w:after="160"/>
      <w:outlineLvl w:val="1"/>
    </w:pPr>
    <w:rPr>
      <w:b/>
      <w:bCs/>
      <w:color w:val="2446BF"/>
      <w:sz w:val="29"/>
      <w:szCs w:val="29"/>
    </w:rPr>
  </w:style>
  <w:style w:type="paragraph" w:styleId="Titolo3">
    <w:name w:val="heading 3"/>
    <w:basedOn w:val="Normale"/>
    <w:link w:val="Titolo3Carattere"/>
    <w:uiPriority w:val="9"/>
    <w:qFormat/>
    <w:pPr>
      <w:keepNext/>
      <w:spacing w:before="180" w:after="100"/>
      <w:outlineLvl w:val="2"/>
    </w:pPr>
    <w:rPr>
      <w:b/>
      <w:bCs/>
      <w:color w:val="14213D"/>
      <w:sz w:val="23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customStyle="1" w:styleId="msonormal0">
    <w:name w:val="msonormal"/>
    <w:basedOn w:val="Normale"/>
    <w:pPr>
      <w:spacing w:before="100" w:beforeAutospacing="1" w:after="100" w:afterAutospacing="1"/>
    </w:pPr>
    <w:rPr>
      <w:sz w:val="18"/>
      <w:szCs w:val="18"/>
    </w:rPr>
  </w:style>
  <w:style w:type="paragraph" w:styleId="NormaleWeb">
    <w:name w:val="Normal (Web)"/>
    <w:basedOn w:val="Normale"/>
    <w:uiPriority w:val="99"/>
    <w:semiHidden/>
    <w:unhideWhenUsed/>
    <w:pPr>
      <w:spacing w:before="100" w:beforeAutospacing="1" w:after="100" w:afterAutospacing="1"/>
    </w:pPr>
    <w:rPr>
      <w:sz w:val="18"/>
      <w:szCs w:val="18"/>
    </w:rPr>
  </w:style>
  <w:style w:type="paragraph" w:customStyle="1" w:styleId="kpi">
    <w:name w:val="kpi"/>
    <w:basedOn w:val="Normale"/>
    <w:pPr>
      <w:pBdr>
        <w:top w:val="single" w:sz="8" w:space="6" w:color="000000"/>
        <w:left w:val="single" w:sz="8" w:space="6" w:color="000000"/>
        <w:bottom w:val="single" w:sz="8" w:space="6" w:color="000000"/>
        <w:right w:val="single" w:sz="8" w:space="6" w:color="000000"/>
      </w:pBdr>
      <w:shd w:val="clear" w:color="auto" w:fill="F7F9FC"/>
      <w:spacing w:after="140"/>
      <w:ind w:right="119"/>
      <w:textAlignment w:val="top"/>
    </w:pPr>
    <w:rPr>
      <w:sz w:val="18"/>
      <w:szCs w:val="18"/>
    </w:rPr>
  </w:style>
  <w:style w:type="paragraph" w:customStyle="1" w:styleId="box">
    <w:name w:val="box"/>
    <w:basedOn w:val="Normale"/>
    <w:pPr>
      <w:pBdr>
        <w:top w:val="single" w:sz="8" w:space="6" w:color="000000"/>
        <w:left w:val="single" w:sz="8" w:space="6" w:color="000000"/>
        <w:bottom w:val="single" w:sz="8" w:space="6" w:color="000000"/>
        <w:right w:val="single" w:sz="8" w:space="6" w:color="000000"/>
      </w:pBdr>
      <w:shd w:val="clear" w:color="auto" w:fill="F4F8FF"/>
      <w:spacing w:before="140" w:after="140"/>
    </w:pPr>
    <w:rPr>
      <w:sz w:val="18"/>
      <w:szCs w:val="18"/>
    </w:rPr>
  </w:style>
  <w:style w:type="paragraph" w:customStyle="1" w:styleId="warn">
    <w:name w:val="warn"/>
    <w:basedOn w:val="Normale"/>
    <w:pPr>
      <w:shd w:val="clear" w:color="auto" w:fill="FFF8E8"/>
      <w:spacing w:before="100" w:beforeAutospacing="1" w:after="100" w:afterAutospacing="1"/>
    </w:pPr>
    <w:rPr>
      <w:sz w:val="18"/>
      <w:szCs w:val="18"/>
    </w:rPr>
  </w:style>
  <w:style w:type="paragraph" w:customStyle="1" w:styleId="disc">
    <w:name w:val="disc"/>
    <w:basedOn w:val="Normale"/>
    <w:pPr>
      <w:shd w:val="clear" w:color="auto" w:fill="FFF1F3"/>
      <w:spacing w:before="100" w:beforeAutospacing="1" w:after="100" w:afterAutospacing="1"/>
    </w:pPr>
    <w:rPr>
      <w:sz w:val="18"/>
      <w:szCs w:val="18"/>
    </w:rPr>
  </w:style>
  <w:style w:type="paragraph" w:customStyle="1" w:styleId="badge">
    <w:name w:val="badge"/>
    <w:basedOn w:val="Normale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risk-low">
    <w:name w:val="risk-low"/>
    <w:basedOn w:val="Normale"/>
    <w:pPr>
      <w:shd w:val="clear" w:color="auto" w:fill="C9F2D8"/>
      <w:spacing w:before="100" w:beforeAutospacing="1" w:after="100" w:afterAutospacing="1"/>
    </w:pPr>
    <w:rPr>
      <w:sz w:val="18"/>
      <w:szCs w:val="18"/>
    </w:rPr>
  </w:style>
  <w:style w:type="paragraph" w:customStyle="1" w:styleId="risk-medium">
    <w:name w:val="risk-medium"/>
    <w:basedOn w:val="Normale"/>
    <w:pPr>
      <w:shd w:val="clear" w:color="auto" w:fill="FFF1AD"/>
      <w:spacing w:before="100" w:beforeAutospacing="1" w:after="100" w:afterAutospacing="1"/>
    </w:pPr>
    <w:rPr>
      <w:sz w:val="18"/>
      <w:szCs w:val="18"/>
    </w:rPr>
  </w:style>
  <w:style w:type="paragraph" w:customStyle="1" w:styleId="risk-high">
    <w:name w:val="risk-high"/>
    <w:basedOn w:val="Normale"/>
    <w:pPr>
      <w:shd w:val="clear" w:color="auto" w:fill="FFD7A8"/>
      <w:spacing w:before="100" w:beforeAutospacing="1" w:after="100" w:afterAutospacing="1"/>
    </w:pPr>
    <w:rPr>
      <w:sz w:val="18"/>
      <w:szCs w:val="18"/>
    </w:rPr>
  </w:style>
  <w:style w:type="paragraph" w:customStyle="1" w:styleId="risk-critical">
    <w:name w:val="risk-critical"/>
    <w:basedOn w:val="Normale"/>
    <w:pPr>
      <w:shd w:val="clear" w:color="auto" w:fill="FFC2CB"/>
      <w:spacing w:before="100" w:beforeAutospacing="1" w:after="100" w:afterAutospacing="1"/>
    </w:pPr>
    <w:rPr>
      <w:sz w:val="18"/>
      <w:szCs w:val="18"/>
    </w:rPr>
  </w:style>
  <w:style w:type="paragraph" w:customStyle="1" w:styleId="chart-block">
    <w:name w:val="chart-block"/>
    <w:basedOn w:val="Normale"/>
    <w:pPr>
      <w:spacing w:before="140" w:after="320"/>
    </w:pPr>
    <w:rPr>
      <w:sz w:val="18"/>
      <w:szCs w:val="18"/>
    </w:rPr>
  </w:style>
  <w:style w:type="paragraph" w:customStyle="1" w:styleId="small">
    <w:name w:val="small"/>
    <w:basedOn w:val="Normale"/>
    <w:pPr>
      <w:spacing w:before="100" w:beforeAutospacing="1" w:after="100" w:afterAutospacing="1"/>
    </w:pPr>
    <w:rPr>
      <w:color w:val="667085"/>
      <w:sz w:val="16"/>
      <w:szCs w:val="16"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011000">
      <w:marLeft w:val="0"/>
      <w:marRight w:val="1"/>
      <w:marTop w:val="0"/>
      <w:marBottom w:val="140"/>
      <w:divBdr>
        <w:top w:val="single" w:sz="8" w:space="6" w:color="000000"/>
        <w:left w:val="single" w:sz="8" w:space="6" w:color="000000"/>
        <w:bottom w:val="single" w:sz="8" w:space="6" w:color="000000"/>
        <w:right w:val="single" w:sz="8" w:space="6" w:color="000000"/>
      </w:divBdr>
    </w:div>
    <w:div w:id="305011035">
      <w:marLeft w:val="0"/>
      <w:marRight w:val="1"/>
      <w:marTop w:val="0"/>
      <w:marBottom w:val="140"/>
      <w:divBdr>
        <w:top w:val="single" w:sz="8" w:space="6" w:color="000000"/>
        <w:left w:val="single" w:sz="8" w:space="6" w:color="000000"/>
        <w:bottom w:val="single" w:sz="8" w:space="6" w:color="000000"/>
        <w:right w:val="single" w:sz="8" w:space="6" w:color="000000"/>
      </w:divBdr>
    </w:div>
    <w:div w:id="355813466">
      <w:marLeft w:val="0"/>
      <w:marRight w:val="0"/>
      <w:marTop w:val="140"/>
      <w:marBottom w:val="3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2019">
      <w:marLeft w:val="0"/>
      <w:marRight w:val="0"/>
      <w:marTop w:val="140"/>
      <w:marBottom w:val="140"/>
      <w:divBdr>
        <w:top w:val="single" w:sz="8" w:space="6" w:color="000000"/>
        <w:left w:val="single" w:sz="8" w:space="6" w:color="000000"/>
        <w:bottom w:val="single" w:sz="8" w:space="6" w:color="000000"/>
        <w:right w:val="single" w:sz="8" w:space="6" w:color="000000"/>
      </w:divBdr>
    </w:div>
    <w:div w:id="682826215">
      <w:marLeft w:val="0"/>
      <w:marRight w:val="0"/>
      <w:marTop w:val="140"/>
      <w:marBottom w:val="140"/>
      <w:divBdr>
        <w:top w:val="single" w:sz="8" w:space="6" w:color="000000"/>
        <w:left w:val="single" w:sz="8" w:space="6" w:color="000000"/>
        <w:bottom w:val="single" w:sz="8" w:space="6" w:color="000000"/>
        <w:right w:val="single" w:sz="8" w:space="6" w:color="000000"/>
      </w:divBdr>
    </w:div>
    <w:div w:id="1105150794">
      <w:marLeft w:val="0"/>
      <w:marRight w:val="1"/>
      <w:marTop w:val="0"/>
      <w:marBottom w:val="140"/>
      <w:divBdr>
        <w:top w:val="single" w:sz="8" w:space="6" w:color="000000"/>
        <w:left w:val="single" w:sz="8" w:space="6" w:color="000000"/>
        <w:bottom w:val="single" w:sz="8" w:space="6" w:color="000000"/>
        <w:right w:val="single" w:sz="8" w:space="6" w:color="000000"/>
      </w:divBdr>
    </w:div>
    <w:div w:id="1249851519">
      <w:marLeft w:val="0"/>
      <w:marRight w:val="0"/>
      <w:marTop w:val="140"/>
      <w:marBottom w:val="3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49607">
      <w:marLeft w:val="0"/>
      <w:marRight w:val="1"/>
      <w:marTop w:val="0"/>
      <w:marBottom w:val="140"/>
      <w:divBdr>
        <w:top w:val="single" w:sz="8" w:space="6" w:color="000000"/>
        <w:left w:val="single" w:sz="8" w:space="6" w:color="000000"/>
        <w:bottom w:val="single" w:sz="8" w:space="6" w:color="000000"/>
        <w:right w:val="single" w:sz="8" w:space="6" w:color="000000"/>
      </w:divBdr>
    </w:div>
    <w:div w:id="1844783954">
      <w:marLeft w:val="0"/>
      <w:marRight w:val="1"/>
      <w:marTop w:val="0"/>
      <w:marBottom w:val="140"/>
      <w:divBdr>
        <w:top w:val="single" w:sz="8" w:space="6" w:color="000000"/>
        <w:left w:val="single" w:sz="8" w:space="6" w:color="000000"/>
        <w:bottom w:val="single" w:sz="8" w:space="6" w:color="000000"/>
        <w:right w:val="single" w:sz="8" w:space="6" w:color="000000"/>
      </w:divBdr>
    </w:div>
    <w:div w:id="1878009246">
      <w:marLeft w:val="0"/>
      <w:marRight w:val="0"/>
      <w:marTop w:val="140"/>
      <w:marBottom w:val="140"/>
      <w:divBdr>
        <w:top w:val="single" w:sz="8" w:space="6" w:color="000000"/>
        <w:left w:val="single" w:sz="8" w:space="6" w:color="000000"/>
        <w:bottom w:val="single" w:sz="8" w:space="6" w:color="000000"/>
        <w:right w:val="single" w:sz="8" w:space="6" w:color="000000"/>
      </w:divBdr>
    </w:div>
    <w:div w:id="2010329686">
      <w:marLeft w:val="0"/>
      <w:marRight w:val="0"/>
      <w:marTop w:val="140"/>
      <w:marBottom w:val="3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6267">
      <w:marLeft w:val="0"/>
      <w:marRight w:val="0"/>
      <w:marTop w:val="140"/>
      <w:marBottom w:val="140"/>
      <w:divBdr>
        <w:top w:val="single" w:sz="8" w:space="6" w:color="000000"/>
        <w:left w:val="single" w:sz="8" w:space="6" w:color="000000"/>
        <w:bottom w:val="single" w:sz="8" w:space="6" w:color="000000"/>
        <w:right w:val="single" w:sz="8" w:space="6" w:color="000000"/>
      </w:divBdr>
    </w:div>
    <w:div w:id="2026050472">
      <w:marLeft w:val="0"/>
      <w:marRight w:val="1"/>
      <w:marTop w:val="0"/>
      <w:marBottom w:val="140"/>
      <w:divBdr>
        <w:top w:val="single" w:sz="8" w:space="6" w:color="000000"/>
        <w:left w:val="single" w:sz="8" w:space="6" w:color="000000"/>
        <w:bottom w:val="single" w:sz="8" w:space="6" w:color="000000"/>
        <w:right w:val="single" w:sz="8" w:space="6" w:color="000000"/>
      </w:divBdr>
    </w:div>
    <w:div w:id="2039697173">
      <w:marLeft w:val="0"/>
      <w:marRight w:val="1"/>
      <w:marTop w:val="0"/>
      <w:marBottom w:val="140"/>
      <w:divBdr>
        <w:top w:val="single" w:sz="8" w:space="6" w:color="000000"/>
        <w:left w:val="single" w:sz="8" w:space="6" w:color="000000"/>
        <w:bottom w:val="single" w:sz="8" w:space="6" w:color="000000"/>
        <w:right w:val="single" w:sz="8" w:space="6" w:color="000000"/>
      </w:divBdr>
    </w:div>
    <w:div w:id="2060472195">
      <w:marLeft w:val="0"/>
      <w:marRight w:val="0"/>
      <w:marTop w:val="140"/>
      <w:marBottom w:val="3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0025">
      <w:marLeft w:val="0"/>
      <w:marRight w:val="1"/>
      <w:marTop w:val="0"/>
      <w:marBottom w:val="140"/>
      <w:divBdr>
        <w:top w:val="single" w:sz="8" w:space="6" w:color="000000"/>
        <w:left w:val="single" w:sz="8" w:space="6" w:color="000000"/>
        <w:bottom w:val="single" w:sz="8" w:space="6" w:color="000000"/>
        <w:right w:val="single" w:sz="8" w:space="6" w:color="000000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1898</Words>
  <Characters>10821</Characters>
  <Application>Microsoft Office Word</Application>
  <DocSecurity>0</DocSecurity>
  <Lines>90</Lines>
  <Paragraphs>25</Paragraphs>
  <ScaleCrop>false</ScaleCrop>
  <Company/>
  <LinksUpToDate>false</LinksUpToDate>
  <CharactersWithSpaces>12694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NIS2 Compliance Free Report</dc:title>
  <dc:subject/>
  <dc:creator>PAOLO BENNI</dc:creator>
  <cp:keywords/>
  <dc:description/>
  <cp:lastModifiedBy>PAOLO BENNI</cp:lastModifiedBy>
  <cp:revision>2</cp:revision>
  <dcterms:created xsi:type="dcterms:W3CDTF">2026-05-24T17:12:00Z</dcterms:created>
  <dcterms:modified xsi:type="dcterms:W3CDTF">2026-05-24T17:12:00Z</dcterms:modified>
</cp:coreProperties>
</file>