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ED424" w14:textId="13A34F8D" w:rsidR="0040502B" w:rsidRPr="00106AD6" w:rsidRDefault="0040502B" w:rsidP="0040502B">
      <w:pPr>
        <w:pStyle w:val="NormaleWeb"/>
        <w:rPr>
          <w:rFonts w:ascii="Arial" w:hAnsi="Arial" w:cs="Arial"/>
          <w:b/>
          <w:bCs/>
          <w:sz w:val="52"/>
          <w:szCs w:val="52"/>
        </w:rPr>
      </w:pPr>
      <w:r w:rsidRPr="00106AD6">
        <w:rPr>
          <w:rFonts w:ascii="Arial" w:hAnsi="Arial" w:cs="Arial"/>
          <w:b/>
          <w:bCs/>
          <w:sz w:val="52"/>
          <w:szCs w:val="52"/>
        </w:rPr>
        <w:t>FAQ ROA PORTALEAGENTIFISICI 2026</w:t>
      </w:r>
    </w:p>
    <w:p w14:paraId="6D5B22D2" w14:textId="6187865D" w:rsidR="0040502B" w:rsidRDefault="0040502B" w:rsidP="0040502B">
      <w:pPr>
        <w:pStyle w:val="NormaleWeb"/>
        <w:rPr>
          <w:rFonts w:ascii="Arial" w:hAnsi="Arial" w:cs="Arial"/>
          <w:sz w:val="21"/>
          <w:szCs w:val="21"/>
        </w:rPr>
      </w:pPr>
      <w:r>
        <w:t xml:space="preserve">La pagina PAF specifica che le FAQ ROA consentono la consultazione del capitolo ROA delle </w:t>
      </w:r>
      <w:r>
        <w:rPr>
          <w:rStyle w:val="Enfasicorsivo"/>
        </w:rPr>
        <w:t xml:space="preserve">Indicazioni Operative – </w:t>
      </w:r>
      <w:proofErr w:type="spellStart"/>
      <w:r>
        <w:rPr>
          <w:rStyle w:val="Enfasicorsivo"/>
        </w:rPr>
        <w:t>D.Lgs.</w:t>
      </w:r>
      <w:proofErr w:type="spellEnd"/>
      <w:r>
        <w:rPr>
          <w:rStyle w:val="Enfasicorsivo"/>
        </w:rPr>
        <w:t xml:space="preserve"> 81/2008 Protezione dei lavoratori dai rischi da Agenti Fisici</w:t>
      </w:r>
      <w:r>
        <w:t xml:space="preserve">, approvate il </w:t>
      </w:r>
      <w:r>
        <w:rPr>
          <w:rStyle w:val="Enfasigrassetto"/>
        </w:rPr>
        <w:t>21/07/2021</w:t>
      </w:r>
      <w:r>
        <w:t xml:space="preserve">; l’elenco delle FAQ ROA va da </w:t>
      </w:r>
      <w:r>
        <w:rPr>
          <w:rStyle w:val="Enfasigrassetto"/>
        </w:rPr>
        <w:t>A.0</w:t>
      </w:r>
      <w:r>
        <w:t xml:space="preserve"> a </w:t>
      </w:r>
      <w:r>
        <w:rPr>
          <w:rStyle w:val="Enfasigrassetto"/>
        </w:rPr>
        <w:t>E.6</w:t>
      </w:r>
    </w:p>
    <w:p w14:paraId="26CC7F46" w14:textId="144EDB46" w:rsidR="0040502B" w:rsidRDefault="0040502B" w:rsidP="0040502B">
      <w:pPr>
        <w:pStyle w:val="NormaleWeb"/>
        <w:rPr>
          <w:rFonts w:ascii="Arial" w:hAnsi="Arial" w:cs="Arial"/>
          <w:sz w:val="21"/>
          <w:szCs w:val="21"/>
        </w:rPr>
      </w:pPr>
      <w:r>
        <w:rPr>
          <w:rFonts w:ascii="Arial" w:hAnsi="Arial" w:cs="Arial"/>
          <w:sz w:val="21"/>
          <w:szCs w:val="21"/>
        </w:rPr>
        <w:t xml:space="preserve">Insieme alle FAQ contenute nel documento approvato dal Gruppo Tecnico Interregionale Prevenzione Igiene e Sicurezza sui Luoghi di Lavoro il 21/07/21 sono presenti anche alcune FAQ aggiornate o aggiunte, che saranno parte dell'aggiornamento del documento in fase di approvazione </w:t>
      </w:r>
      <w:proofErr w:type="gramStart"/>
      <w:r>
        <w:rPr>
          <w:rFonts w:ascii="Arial" w:hAnsi="Arial" w:cs="Arial"/>
          <w:sz w:val="21"/>
          <w:szCs w:val="21"/>
        </w:rPr>
        <w:t>dal parte</w:t>
      </w:r>
      <w:proofErr w:type="gramEnd"/>
      <w:r>
        <w:rPr>
          <w:rFonts w:ascii="Arial" w:hAnsi="Arial" w:cs="Arial"/>
          <w:sz w:val="21"/>
          <w:szCs w:val="21"/>
        </w:rPr>
        <w:t xml:space="preserve"> </w:t>
      </w:r>
      <w:proofErr w:type="gramStart"/>
      <w:r>
        <w:rPr>
          <w:rFonts w:ascii="Arial" w:hAnsi="Arial" w:cs="Arial"/>
          <w:sz w:val="21"/>
          <w:szCs w:val="21"/>
        </w:rPr>
        <w:t>dei gruppo</w:t>
      </w:r>
      <w:proofErr w:type="gramEnd"/>
      <w:r>
        <w:rPr>
          <w:rFonts w:ascii="Arial" w:hAnsi="Arial" w:cs="Arial"/>
          <w:sz w:val="21"/>
          <w:szCs w:val="21"/>
        </w:rPr>
        <w:t xml:space="preserve"> interregionale. </w:t>
      </w:r>
    </w:p>
    <w:tbl>
      <w:tblPr>
        <w:tblStyle w:val="Grigliatabella"/>
        <w:tblW w:w="0" w:type="auto"/>
        <w:tblLook w:val="04A0" w:firstRow="1" w:lastRow="0" w:firstColumn="1" w:lastColumn="0" w:noHBand="0" w:noVBand="1"/>
      </w:tblPr>
      <w:tblGrid>
        <w:gridCol w:w="456"/>
        <w:gridCol w:w="750"/>
        <w:gridCol w:w="3999"/>
        <w:gridCol w:w="5308"/>
        <w:gridCol w:w="3990"/>
      </w:tblGrid>
      <w:tr w:rsidR="0040502B" w:rsidRPr="0040502B" w14:paraId="168AE106" w14:textId="77777777" w:rsidTr="0040502B">
        <w:tc>
          <w:tcPr>
            <w:tcW w:w="0" w:type="auto"/>
            <w:hideMark/>
          </w:tcPr>
          <w:p w14:paraId="2A7DA505" w14:textId="77777777" w:rsidR="0040502B" w:rsidRPr="0040502B" w:rsidRDefault="0040502B" w:rsidP="0040502B">
            <w:pPr>
              <w:jc w:val="right"/>
              <w:rPr>
                <w:rFonts w:ascii="Times New Roman" w:eastAsia="Times New Roman" w:hAnsi="Times New Roman" w:cs="Times New Roman"/>
                <w:b/>
                <w:bCs/>
                <w:kern w:val="0"/>
                <w:sz w:val="24"/>
                <w:szCs w:val="24"/>
                <w:lang w:eastAsia="it-IT"/>
                <w14:ligatures w14:val="none"/>
              </w:rPr>
            </w:pPr>
            <w:r w:rsidRPr="0040502B">
              <w:rPr>
                <w:rFonts w:ascii="Times New Roman" w:eastAsia="Times New Roman" w:hAnsi="Times New Roman" w:cs="Times New Roman"/>
                <w:b/>
                <w:bCs/>
                <w:kern w:val="0"/>
                <w:sz w:val="24"/>
                <w:szCs w:val="24"/>
                <w:lang w:eastAsia="it-IT"/>
                <w14:ligatures w14:val="none"/>
              </w:rPr>
              <w:t>N.</w:t>
            </w:r>
          </w:p>
        </w:tc>
        <w:tc>
          <w:tcPr>
            <w:tcW w:w="0" w:type="auto"/>
            <w:hideMark/>
          </w:tcPr>
          <w:p w14:paraId="31308BB5" w14:textId="77777777" w:rsidR="0040502B" w:rsidRPr="0040502B" w:rsidRDefault="0040502B" w:rsidP="0040502B">
            <w:pPr>
              <w:jc w:val="center"/>
              <w:rPr>
                <w:rFonts w:ascii="Times New Roman" w:eastAsia="Times New Roman" w:hAnsi="Times New Roman" w:cs="Times New Roman"/>
                <w:b/>
                <w:bCs/>
                <w:kern w:val="0"/>
                <w:sz w:val="24"/>
                <w:szCs w:val="24"/>
                <w:lang w:eastAsia="it-IT"/>
                <w14:ligatures w14:val="none"/>
              </w:rPr>
            </w:pPr>
            <w:r w:rsidRPr="0040502B">
              <w:rPr>
                <w:rFonts w:ascii="Times New Roman" w:eastAsia="Times New Roman" w:hAnsi="Times New Roman" w:cs="Times New Roman"/>
                <w:b/>
                <w:bCs/>
                <w:kern w:val="0"/>
                <w:sz w:val="24"/>
                <w:szCs w:val="24"/>
                <w:lang w:eastAsia="it-IT"/>
                <w14:ligatures w14:val="none"/>
              </w:rPr>
              <w:t>FAQ</w:t>
            </w:r>
          </w:p>
        </w:tc>
        <w:tc>
          <w:tcPr>
            <w:tcW w:w="0" w:type="auto"/>
            <w:hideMark/>
          </w:tcPr>
          <w:p w14:paraId="2E6C5EE5" w14:textId="77777777" w:rsidR="0040502B" w:rsidRPr="0040502B" w:rsidRDefault="0040502B" w:rsidP="0040502B">
            <w:pPr>
              <w:jc w:val="center"/>
              <w:rPr>
                <w:rFonts w:ascii="Times New Roman" w:eastAsia="Times New Roman" w:hAnsi="Times New Roman" w:cs="Times New Roman"/>
                <w:b/>
                <w:bCs/>
                <w:kern w:val="0"/>
                <w:sz w:val="24"/>
                <w:szCs w:val="24"/>
                <w:lang w:eastAsia="it-IT"/>
                <w14:ligatures w14:val="none"/>
              </w:rPr>
            </w:pPr>
            <w:r w:rsidRPr="0040502B">
              <w:rPr>
                <w:rFonts w:ascii="Times New Roman" w:eastAsia="Times New Roman" w:hAnsi="Times New Roman" w:cs="Times New Roman"/>
                <w:b/>
                <w:bCs/>
                <w:kern w:val="0"/>
                <w:sz w:val="24"/>
                <w:szCs w:val="24"/>
                <w:lang w:eastAsia="it-IT"/>
                <w14:ligatures w14:val="none"/>
              </w:rPr>
              <w:t>Domanda</w:t>
            </w:r>
          </w:p>
        </w:tc>
        <w:tc>
          <w:tcPr>
            <w:tcW w:w="0" w:type="auto"/>
            <w:hideMark/>
          </w:tcPr>
          <w:p w14:paraId="0E813D41" w14:textId="77777777" w:rsidR="0040502B" w:rsidRPr="0040502B" w:rsidRDefault="0040502B" w:rsidP="0040502B">
            <w:pPr>
              <w:jc w:val="center"/>
              <w:rPr>
                <w:rFonts w:ascii="Times New Roman" w:eastAsia="Times New Roman" w:hAnsi="Times New Roman" w:cs="Times New Roman"/>
                <w:b/>
                <w:bCs/>
                <w:kern w:val="0"/>
                <w:sz w:val="24"/>
                <w:szCs w:val="24"/>
                <w:lang w:eastAsia="it-IT"/>
                <w14:ligatures w14:val="none"/>
              </w:rPr>
            </w:pPr>
            <w:r w:rsidRPr="0040502B">
              <w:rPr>
                <w:rFonts w:ascii="Times New Roman" w:eastAsia="Times New Roman" w:hAnsi="Times New Roman" w:cs="Times New Roman"/>
                <w:b/>
                <w:bCs/>
                <w:kern w:val="0"/>
                <w:sz w:val="24"/>
                <w:szCs w:val="24"/>
                <w:lang w:eastAsia="it-IT"/>
                <w14:ligatures w14:val="none"/>
              </w:rPr>
              <w:t>Risposta estesa</w:t>
            </w:r>
          </w:p>
        </w:tc>
        <w:tc>
          <w:tcPr>
            <w:tcW w:w="0" w:type="auto"/>
            <w:hideMark/>
          </w:tcPr>
          <w:p w14:paraId="0F1793B9" w14:textId="77777777" w:rsidR="0040502B" w:rsidRPr="0040502B" w:rsidRDefault="0040502B" w:rsidP="0040502B">
            <w:pPr>
              <w:jc w:val="center"/>
              <w:rPr>
                <w:rFonts w:ascii="Times New Roman" w:eastAsia="Times New Roman" w:hAnsi="Times New Roman" w:cs="Times New Roman"/>
                <w:b/>
                <w:bCs/>
                <w:kern w:val="0"/>
                <w:sz w:val="24"/>
                <w:szCs w:val="24"/>
                <w:lang w:eastAsia="it-IT"/>
                <w14:ligatures w14:val="none"/>
              </w:rPr>
            </w:pPr>
            <w:r w:rsidRPr="0040502B">
              <w:rPr>
                <w:rFonts w:ascii="Times New Roman" w:eastAsia="Times New Roman" w:hAnsi="Times New Roman" w:cs="Times New Roman"/>
                <w:b/>
                <w:bCs/>
                <w:kern w:val="0"/>
                <w:sz w:val="24"/>
                <w:szCs w:val="24"/>
                <w:lang w:eastAsia="it-IT"/>
                <w14:ligatures w14:val="none"/>
              </w:rPr>
              <w:t>Cosa comporta sinteticamente</w:t>
            </w:r>
          </w:p>
        </w:tc>
      </w:tr>
      <w:tr w:rsidR="0040502B" w:rsidRPr="0040502B" w14:paraId="2DB87FD5" w14:textId="77777777" w:rsidTr="0040502B">
        <w:tc>
          <w:tcPr>
            <w:tcW w:w="0" w:type="auto"/>
            <w:hideMark/>
          </w:tcPr>
          <w:p w14:paraId="68E75B39"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w:t>
            </w:r>
          </w:p>
        </w:tc>
        <w:tc>
          <w:tcPr>
            <w:tcW w:w="0" w:type="auto"/>
            <w:hideMark/>
          </w:tcPr>
          <w:p w14:paraId="0EA394D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A.0</w:t>
            </w:r>
          </w:p>
        </w:tc>
        <w:tc>
          <w:tcPr>
            <w:tcW w:w="0" w:type="auto"/>
            <w:hideMark/>
          </w:tcPr>
          <w:p w14:paraId="3490DA1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Cosa sono, dove sono presenti, sono prodotte o vengono utilizzate le ROA nei luoghi di lavoro?</w:t>
            </w:r>
          </w:p>
        </w:tc>
        <w:tc>
          <w:tcPr>
            <w:tcW w:w="0" w:type="auto"/>
            <w:hideMark/>
          </w:tcPr>
          <w:p w14:paraId="340C494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 xml:space="preserve">Le </w:t>
            </w:r>
            <w:r w:rsidRPr="0040502B">
              <w:rPr>
                <w:rFonts w:ascii="Times New Roman" w:eastAsia="Times New Roman" w:hAnsi="Times New Roman" w:cs="Times New Roman"/>
                <w:b/>
                <w:bCs/>
                <w:kern w:val="0"/>
                <w:sz w:val="24"/>
                <w:szCs w:val="24"/>
                <w:lang w:eastAsia="it-IT"/>
                <w14:ligatures w14:val="none"/>
              </w:rPr>
              <w:t>Radiazioni Ottiche Artificiali</w:t>
            </w:r>
            <w:r w:rsidRPr="0040502B">
              <w:rPr>
                <w:rFonts w:ascii="Times New Roman" w:eastAsia="Times New Roman" w:hAnsi="Times New Roman" w:cs="Times New Roman"/>
                <w:kern w:val="0"/>
                <w:sz w:val="24"/>
                <w:szCs w:val="24"/>
                <w:lang w:eastAsia="it-IT"/>
                <w14:ligatures w14:val="none"/>
              </w:rPr>
              <w:t xml:space="preserve">, dette ROA, comprendono le radiazioni elettromagnetiche nello spettro ottico: ultravioletto, visibile e infrarosso. Possono essere prodotte da sorgenti </w:t>
            </w:r>
            <w:r w:rsidRPr="0040502B">
              <w:rPr>
                <w:rFonts w:ascii="Times New Roman" w:eastAsia="Times New Roman" w:hAnsi="Times New Roman" w:cs="Times New Roman"/>
                <w:b/>
                <w:bCs/>
                <w:kern w:val="0"/>
                <w:sz w:val="24"/>
                <w:szCs w:val="24"/>
                <w:lang w:eastAsia="it-IT"/>
                <w14:ligatures w14:val="none"/>
              </w:rPr>
              <w:t>non coerenti</w:t>
            </w:r>
            <w:r w:rsidRPr="0040502B">
              <w:rPr>
                <w:rFonts w:ascii="Times New Roman" w:eastAsia="Times New Roman" w:hAnsi="Times New Roman" w:cs="Times New Roman"/>
                <w:kern w:val="0"/>
                <w:sz w:val="24"/>
                <w:szCs w:val="24"/>
                <w:lang w:eastAsia="it-IT"/>
                <w14:ligatures w14:val="none"/>
              </w:rPr>
              <w:t xml:space="preserve">, come lampade, forni, saldatura, LED, lampade UV, IPL e sorgenti IR, oppure da sorgenti </w:t>
            </w:r>
            <w:r w:rsidRPr="0040502B">
              <w:rPr>
                <w:rFonts w:ascii="Times New Roman" w:eastAsia="Times New Roman" w:hAnsi="Times New Roman" w:cs="Times New Roman"/>
                <w:b/>
                <w:bCs/>
                <w:kern w:val="0"/>
                <w:sz w:val="24"/>
                <w:szCs w:val="24"/>
                <w:lang w:eastAsia="it-IT"/>
                <w14:ligatures w14:val="none"/>
              </w:rPr>
              <w:t>coerenti</w:t>
            </w:r>
            <w:r w:rsidRPr="0040502B">
              <w:rPr>
                <w:rFonts w:ascii="Times New Roman" w:eastAsia="Times New Roman" w:hAnsi="Times New Roman" w:cs="Times New Roman"/>
                <w:kern w:val="0"/>
                <w:sz w:val="24"/>
                <w:szCs w:val="24"/>
                <w:lang w:eastAsia="it-IT"/>
                <w14:ligatures w14:val="none"/>
              </w:rPr>
              <w:t>, cioè laser. Nei luoghi di lavoro possono essere presenti in attività industriali, sanitarie, estetiche, laboratori, manutenzioni, processi termici, saldature, sterilizzazione, controlli non distruttivi, marcatura, taglio, incisione e intrattenimento.</w:t>
            </w:r>
          </w:p>
        </w:tc>
        <w:tc>
          <w:tcPr>
            <w:tcW w:w="0" w:type="auto"/>
            <w:hideMark/>
          </w:tcPr>
          <w:p w14:paraId="5662F75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datore di lavoro deve individuare tutte le sorgenti ottiche artificiali presenti, distinguendo tra laser e sorgenti non coerenti, perché cambiano criteri di valutazione, misure di prevenzione, DPI e necessità di personale qualificato.</w:t>
            </w:r>
          </w:p>
        </w:tc>
      </w:tr>
      <w:tr w:rsidR="0040502B" w:rsidRPr="0040502B" w14:paraId="3089F223" w14:textId="77777777" w:rsidTr="0040502B">
        <w:tc>
          <w:tcPr>
            <w:tcW w:w="0" w:type="auto"/>
            <w:hideMark/>
          </w:tcPr>
          <w:p w14:paraId="1A0CC814"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w:t>
            </w:r>
          </w:p>
        </w:tc>
        <w:tc>
          <w:tcPr>
            <w:tcW w:w="0" w:type="auto"/>
            <w:hideMark/>
          </w:tcPr>
          <w:p w14:paraId="7764557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A.1</w:t>
            </w:r>
          </w:p>
        </w:tc>
        <w:tc>
          <w:tcPr>
            <w:tcW w:w="0" w:type="auto"/>
            <w:hideMark/>
          </w:tcPr>
          <w:p w14:paraId="5F30C5B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sono i rischi per la salute e la sicurezza che si vogliono prevenire?</w:t>
            </w:r>
          </w:p>
        </w:tc>
        <w:tc>
          <w:tcPr>
            <w:tcW w:w="0" w:type="auto"/>
            <w:hideMark/>
          </w:tcPr>
          <w:p w14:paraId="6D1F1DB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 xml:space="preserve">I rischi principali riguardano </w:t>
            </w:r>
            <w:r w:rsidRPr="0040502B">
              <w:rPr>
                <w:rFonts w:ascii="Times New Roman" w:eastAsia="Times New Roman" w:hAnsi="Times New Roman" w:cs="Times New Roman"/>
                <w:b/>
                <w:bCs/>
                <w:kern w:val="0"/>
                <w:sz w:val="24"/>
                <w:szCs w:val="24"/>
                <w:lang w:eastAsia="it-IT"/>
                <w14:ligatures w14:val="none"/>
              </w:rPr>
              <w:t>occhi e cute</w:t>
            </w:r>
            <w:r w:rsidRPr="0040502B">
              <w:rPr>
                <w:rFonts w:ascii="Times New Roman" w:eastAsia="Times New Roman" w:hAnsi="Times New Roman" w:cs="Times New Roman"/>
                <w:kern w:val="0"/>
                <w:sz w:val="24"/>
                <w:szCs w:val="24"/>
                <w:lang w:eastAsia="it-IT"/>
                <w14:ligatures w14:val="none"/>
              </w:rPr>
              <w:t xml:space="preserve">. Le ROA possono provocare effetti acuti come ustioni, eritemi, </w:t>
            </w:r>
            <w:proofErr w:type="spellStart"/>
            <w:r w:rsidRPr="0040502B">
              <w:rPr>
                <w:rFonts w:ascii="Times New Roman" w:eastAsia="Times New Roman" w:hAnsi="Times New Roman" w:cs="Times New Roman"/>
                <w:kern w:val="0"/>
                <w:sz w:val="24"/>
                <w:szCs w:val="24"/>
                <w:lang w:eastAsia="it-IT"/>
                <w14:ligatures w14:val="none"/>
              </w:rPr>
              <w:t>fotocheratiti</w:t>
            </w:r>
            <w:proofErr w:type="spellEnd"/>
            <w:r w:rsidRPr="0040502B">
              <w:rPr>
                <w:rFonts w:ascii="Times New Roman" w:eastAsia="Times New Roman" w:hAnsi="Times New Roman" w:cs="Times New Roman"/>
                <w:kern w:val="0"/>
                <w:sz w:val="24"/>
                <w:szCs w:val="24"/>
                <w:lang w:eastAsia="it-IT"/>
                <w14:ligatures w14:val="none"/>
              </w:rPr>
              <w:t>, congiuntiviti attiniche, lesioni retiniche, danni termici e abbagliamento. Possono inoltre concorrere a effetti cronici, in particolare a carico del cristallino, della retina e della pelle, con attenzione specifica alle radiazioni UV. Oltre agli effetti diretti, vanno considerati effetti indiretti come abbagliamento, distrazione, incendio, esplosione, interferenze con dispositivi e riduzione della percezione del pericolo.</w:t>
            </w:r>
          </w:p>
        </w:tc>
        <w:tc>
          <w:tcPr>
            <w:tcW w:w="0" w:type="auto"/>
            <w:hideMark/>
          </w:tcPr>
          <w:p w14:paraId="5DC3831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valutazione deve coprire sia il rischio sanitario diretto sia gli effetti indiretti che possono aumentare il rischio infortunistico.</w:t>
            </w:r>
          </w:p>
        </w:tc>
      </w:tr>
      <w:tr w:rsidR="0040502B" w:rsidRPr="0040502B" w14:paraId="07DE06A6" w14:textId="77777777" w:rsidTr="0040502B">
        <w:tc>
          <w:tcPr>
            <w:tcW w:w="0" w:type="auto"/>
            <w:hideMark/>
          </w:tcPr>
          <w:p w14:paraId="371AF332"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w:t>
            </w:r>
          </w:p>
        </w:tc>
        <w:tc>
          <w:tcPr>
            <w:tcW w:w="0" w:type="auto"/>
            <w:hideMark/>
          </w:tcPr>
          <w:p w14:paraId="1FF08DC6"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A.2</w:t>
            </w:r>
          </w:p>
        </w:tc>
        <w:tc>
          <w:tcPr>
            <w:tcW w:w="0" w:type="auto"/>
            <w:hideMark/>
          </w:tcPr>
          <w:p w14:paraId="6A7B98C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 xml:space="preserve">Quali sono i soggetti particolarmente </w:t>
            </w:r>
            <w:r w:rsidRPr="0040502B">
              <w:rPr>
                <w:rFonts w:ascii="Times New Roman" w:eastAsia="Times New Roman" w:hAnsi="Times New Roman" w:cs="Times New Roman"/>
                <w:kern w:val="0"/>
                <w:sz w:val="24"/>
                <w:szCs w:val="24"/>
                <w:lang w:eastAsia="it-IT"/>
                <w14:ligatures w14:val="none"/>
              </w:rPr>
              <w:lastRenderedPageBreak/>
              <w:t>sensibili al rischio dovuto all’esposizione alle ROA?</w:t>
            </w:r>
          </w:p>
        </w:tc>
        <w:tc>
          <w:tcPr>
            <w:tcW w:w="0" w:type="auto"/>
            <w:hideMark/>
          </w:tcPr>
          <w:p w14:paraId="22A0FEC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lastRenderedPageBreak/>
              <w:t xml:space="preserve">Sono particolarmente sensibili i lavoratori con </w:t>
            </w:r>
            <w:r w:rsidRPr="0040502B">
              <w:rPr>
                <w:rFonts w:ascii="Times New Roman" w:eastAsia="Times New Roman" w:hAnsi="Times New Roman" w:cs="Times New Roman"/>
                <w:kern w:val="0"/>
                <w:sz w:val="24"/>
                <w:szCs w:val="24"/>
                <w:lang w:eastAsia="it-IT"/>
                <w14:ligatures w14:val="none"/>
              </w:rPr>
              <w:lastRenderedPageBreak/>
              <w:t>condizioni individuali che aumentano la vulnerabilità a UV, visibile o IR. Rientrano, a titolo esemplificativo, donne in gravidanza, minori, soggetti con fototipo molto chiaro, albini, persone con patologie oculari o cutanee, lavoratori con fotodermatosi, lupus, vitiligine, cicatrici estese, esiti di ustioni o che assumono farmaci e sostanze fotosensibilizzanti. La valutazione deve tenere conto anche di eventuali indicazioni del Medico Competente.</w:t>
            </w:r>
          </w:p>
        </w:tc>
        <w:tc>
          <w:tcPr>
            <w:tcW w:w="0" w:type="auto"/>
            <w:hideMark/>
          </w:tcPr>
          <w:p w14:paraId="155C0FF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lastRenderedPageBreak/>
              <w:t xml:space="preserve">Può essere necessario adottare misure </w:t>
            </w:r>
            <w:r w:rsidRPr="0040502B">
              <w:rPr>
                <w:rFonts w:ascii="Times New Roman" w:eastAsia="Times New Roman" w:hAnsi="Times New Roman" w:cs="Times New Roman"/>
                <w:kern w:val="0"/>
                <w:sz w:val="24"/>
                <w:szCs w:val="24"/>
                <w:lang w:eastAsia="it-IT"/>
                <w14:ligatures w14:val="none"/>
              </w:rPr>
              <w:lastRenderedPageBreak/>
              <w:t>individuali: limitazione dell’esposizione, cambio mansione, DPI specifici, sorveglianza sanitaria mirata o procedure dedicate.</w:t>
            </w:r>
          </w:p>
        </w:tc>
      </w:tr>
      <w:tr w:rsidR="0040502B" w:rsidRPr="0040502B" w14:paraId="480A8DC7" w14:textId="77777777" w:rsidTr="0040502B">
        <w:tc>
          <w:tcPr>
            <w:tcW w:w="0" w:type="auto"/>
            <w:hideMark/>
          </w:tcPr>
          <w:p w14:paraId="6BB1C872"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lastRenderedPageBreak/>
              <w:t>4</w:t>
            </w:r>
          </w:p>
        </w:tc>
        <w:tc>
          <w:tcPr>
            <w:tcW w:w="0" w:type="auto"/>
            <w:hideMark/>
          </w:tcPr>
          <w:p w14:paraId="1E63BBD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A.3.1</w:t>
            </w:r>
          </w:p>
        </w:tc>
        <w:tc>
          <w:tcPr>
            <w:tcW w:w="0" w:type="auto"/>
            <w:hideMark/>
          </w:tcPr>
          <w:p w14:paraId="73292B3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quali casi attivare la sorveglianza sanitaria? ROA coerenti e non coerenti.</w:t>
            </w:r>
          </w:p>
        </w:tc>
        <w:tc>
          <w:tcPr>
            <w:tcW w:w="0" w:type="auto"/>
            <w:hideMark/>
          </w:tcPr>
          <w:p w14:paraId="0D6D066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sorveglianza sanitaria deve essere attivata quando la valutazione evidenzia un rischio non trascurabile per la salute, quando vi è possibilità di superamento dei valori limite di esposizione, quando sono presenti sorgenti rilevanti o quando vi sono lavoratori particolarmente sensibili. Per le sorgenti non coerenti l’attenzione riguarda soprattutto UV, IR, luce blu, saldatura, lampade germicide, sorgenti termiche e sorgenti luminose intense.</w:t>
            </w:r>
          </w:p>
        </w:tc>
        <w:tc>
          <w:tcPr>
            <w:tcW w:w="0" w:type="auto"/>
            <w:hideMark/>
          </w:tcPr>
          <w:p w14:paraId="2A9C44D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DVR deve indicare se è necessaria sorveglianza sanitaria e con quali criteri, collegandola agli esiti della valutazione e alle mansioni esposte.</w:t>
            </w:r>
          </w:p>
        </w:tc>
      </w:tr>
      <w:tr w:rsidR="0040502B" w:rsidRPr="0040502B" w14:paraId="1583D8D1" w14:textId="77777777" w:rsidTr="0040502B">
        <w:tc>
          <w:tcPr>
            <w:tcW w:w="0" w:type="auto"/>
            <w:hideMark/>
          </w:tcPr>
          <w:p w14:paraId="57EDEDAC"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w:t>
            </w:r>
          </w:p>
        </w:tc>
        <w:tc>
          <w:tcPr>
            <w:tcW w:w="0" w:type="auto"/>
            <w:hideMark/>
          </w:tcPr>
          <w:p w14:paraId="5DC3CC4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A.3.2</w:t>
            </w:r>
          </w:p>
        </w:tc>
        <w:tc>
          <w:tcPr>
            <w:tcW w:w="0" w:type="auto"/>
            <w:hideMark/>
          </w:tcPr>
          <w:p w14:paraId="3B80B61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quali casi attivare la sorveglianza sanitaria? Radiazioni ottiche coerenti: laser.</w:t>
            </w:r>
          </w:p>
        </w:tc>
        <w:tc>
          <w:tcPr>
            <w:tcW w:w="0" w:type="auto"/>
            <w:hideMark/>
          </w:tcPr>
          <w:p w14:paraId="53D6FC6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Per i laser la sorveglianza sanitaria è da valutare con particolare attenzione quando si impiegano laser di classe elevata, quando il fascio o le riflessioni possono essere accessibili, quando si svolgono manutenzione, allineamento, regolazione o prove, e quando vi sono esposizioni potenzialmente superiori ai limiti. Il rischio laser è particolarmente rilevante per l’occhio, soprattutto in funzione di lunghezza d’onda, potenza, durata dell’esposizione e possibilità di osservazione diretta o riflessa del fascio.</w:t>
            </w:r>
          </w:p>
        </w:tc>
        <w:tc>
          <w:tcPr>
            <w:tcW w:w="0" w:type="auto"/>
            <w:hideMark/>
          </w:tcPr>
          <w:p w14:paraId="799CF58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L’uso di laser non confinati o di classe 3B/4 richiede valutazione specialistica, procedure, DPI oculari specifici e possibile sorveglianza sanitaria.</w:t>
            </w:r>
          </w:p>
        </w:tc>
      </w:tr>
      <w:tr w:rsidR="0040502B" w:rsidRPr="0040502B" w14:paraId="3D73ADD7" w14:textId="77777777" w:rsidTr="0040502B">
        <w:tc>
          <w:tcPr>
            <w:tcW w:w="0" w:type="auto"/>
            <w:hideMark/>
          </w:tcPr>
          <w:p w14:paraId="7E219A2C"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6</w:t>
            </w:r>
          </w:p>
        </w:tc>
        <w:tc>
          <w:tcPr>
            <w:tcW w:w="0" w:type="auto"/>
            <w:hideMark/>
          </w:tcPr>
          <w:p w14:paraId="6A24786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A.4</w:t>
            </w:r>
          </w:p>
        </w:tc>
        <w:tc>
          <w:tcPr>
            <w:tcW w:w="0" w:type="auto"/>
            <w:hideMark/>
          </w:tcPr>
          <w:p w14:paraId="142CE3E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sono i possibili criteri da seguire per la sorveglianza sanitaria dei lavoratori esposti a radiazioni ottiche?</w:t>
            </w:r>
          </w:p>
        </w:tc>
        <w:tc>
          <w:tcPr>
            <w:tcW w:w="0" w:type="auto"/>
            <w:hideMark/>
          </w:tcPr>
          <w:p w14:paraId="1930343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sorveglianza sanitaria deve essere impostata in funzione della tipologia di radiazione, dell’organo bersaglio, della durata e intensità dell’esposizione, della presenza di soggetti sensibili, dei DPI impiegati e degli esiti della valutazione. Il protocollo sanitario deve essere coerente con il rischio specifico: cute e occhi per UV, retina per alcune bande visibili e laser, cristallino e strutture oculari per IR e radiazione termica.</w:t>
            </w:r>
          </w:p>
        </w:tc>
        <w:tc>
          <w:tcPr>
            <w:tcW w:w="0" w:type="auto"/>
            <w:hideMark/>
          </w:tcPr>
          <w:p w14:paraId="6950024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Medico Competente deve integrare il protocollo sanitario con i risultati della valutazione tecnica, evitando controlli generici non collegati al rischio reale.</w:t>
            </w:r>
          </w:p>
        </w:tc>
      </w:tr>
      <w:tr w:rsidR="0040502B" w:rsidRPr="0040502B" w14:paraId="6E79BB04" w14:textId="77777777" w:rsidTr="0040502B">
        <w:tc>
          <w:tcPr>
            <w:tcW w:w="0" w:type="auto"/>
            <w:hideMark/>
          </w:tcPr>
          <w:p w14:paraId="19E0E15B"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7</w:t>
            </w:r>
          </w:p>
        </w:tc>
        <w:tc>
          <w:tcPr>
            <w:tcW w:w="0" w:type="auto"/>
            <w:hideMark/>
          </w:tcPr>
          <w:p w14:paraId="6332282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B.1</w:t>
            </w:r>
          </w:p>
        </w:tc>
        <w:tc>
          <w:tcPr>
            <w:tcW w:w="0" w:type="auto"/>
            <w:hideMark/>
          </w:tcPr>
          <w:p w14:paraId="163ABCE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norme tecniche per la misura dell’esposizione a ROA?</w:t>
            </w:r>
          </w:p>
        </w:tc>
        <w:tc>
          <w:tcPr>
            <w:tcW w:w="0" w:type="auto"/>
            <w:hideMark/>
          </w:tcPr>
          <w:p w14:paraId="666CC85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misure devono essere eseguite secondo norme tecniche e metodiche riconosciute, coerenti con la sorgente e con la grandezza da confrontare con i valori limite. Per le sorgenti non coerenti occorre considerare norme fotobiologiche e radiometriche; per i laser occorre applicare riferimenti specifici della famiglia CEI/IEC sui laser. La misura deve essere condotta da personale qualificato, con strumentazione idonea e tarata.</w:t>
            </w:r>
          </w:p>
        </w:tc>
        <w:tc>
          <w:tcPr>
            <w:tcW w:w="0" w:type="auto"/>
            <w:hideMark/>
          </w:tcPr>
          <w:p w14:paraId="764FCD0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Non basta una misura generica della luce: serve una misura tecnicamente corretta, con grandezza, banda spettrale, geometria e tempi coerenti con il limite da verificare.</w:t>
            </w:r>
          </w:p>
        </w:tc>
      </w:tr>
      <w:tr w:rsidR="0040502B" w:rsidRPr="0040502B" w14:paraId="50A652E6" w14:textId="77777777" w:rsidTr="0040502B">
        <w:tc>
          <w:tcPr>
            <w:tcW w:w="0" w:type="auto"/>
            <w:hideMark/>
          </w:tcPr>
          <w:p w14:paraId="4F088642"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8</w:t>
            </w:r>
          </w:p>
        </w:tc>
        <w:tc>
          <w:tcPr>
            <w:tcW w:w="0" w:type="auto"/>
            <w:hideMark/>
          </w:tcPr>
          <w:p w14:paraId="15136AE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B.2.1</w:t>
            </w:r>
          </w:p>
        </w:tc>
        <w:tc>
          <w:tcPr>
            <w:tcW w:w="0" w:type="auto"/>
            <w:hideMark/>
          </w:tcPr>
          <w:p w14:paraId="24F9842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effettua la misura dell’esposizione ROA non coerenti ai fini del confronto con i VLE?</w:t>
            </w:r>
          </w:p>
        </w:tc>
        <w:tc>
          <w:tcPr>
            <w:tcW w:w="0" w:type="auto"/>
            <w:hideMark/>
          </w:tcPr>
          <w:p w14:paraId="134F8A4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Per le ROA non coerenti si misurano grandezze come irradianza, radianza, esposizione radiante o grandezze ponderate in funzione dell’effetto biologico da valutare. La misura deve considerare posizione reale del lavoratore, distanza dalla sorgente, orientamento, durata dell’esposizione, eventuali schermature e condizioni più gravose ragionevolmente prevedibili. Il risultato va confrontato con i valori limite pertinenti dell’Allegato XXXVII.</w:t>
            </w:r>
          </w:p>
        </w:tc>
        <w:tc>
          <w:tcPr>
            <w:tcW w:w="0" w:type="auto"/>
            <w:hideMark/>
          </w:tcPr>
          <w:p w14:paraId="6D78DC3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relazione tecnica deve riportare condizioni di misura, strumentazione, incertezza, tempi di esposizione e confronto con i VLE.</w:t>
            </w:r>
          </w:p>
        </w:tc>
      </w:tr>
      <w:tr w:rsidR="0040502B" w:rsidRPr="0040502B" w14:paraId="4E07FD64" w14:textId="77777777" w:rsidTr="0040502B">
        <w:tc>
          <w:tcPr>
            <w:tcW w:w="0" w:type="auto"/>
            <w:hideMark/>
          </w:tcPr>
          <w:p w14:paraId="17C71EB1"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9</w:t>
            </w:r>
          </w:p>
        </w:tc>
        <w:tc>
          <w:tcPr>
            <w:tcW w:w="0" w:type="auto"/>
            <w:hideMark/>
          </w:tcPr>
          <w:p w14:paraId="4CF13DA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B.2.2</w:t>
            </w:r>
          </w:p>
        </w:tc>
        <w:tc>
          <w:tcPr>
            <w:tcW w:w="0" w:type="auto"/>
            <w:hideMark/>
          </w:tcPr>
          <w:p w14:paraId="5DD7D35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effettua la misura dell’esposizione ROA coerenti, laser, ai fini del confronto con i VLE?</w:t>
            </w:r>
          </w:p>
        </w:tc>
        <w:tc>
          <w:tcPr>
            <w:tcW w:w="0" w:type="auto"/>
            <w:hideMark/>
          </w:tcPr>
          <w:p w14:paraId="3BD4757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Per i laser si valutano potenza o energia, lunghezza d’onda, durata dell’impulso o dell’esposizione, diametro e divergenza del fascio, distanza, modalità di osservazione e possibilità di riflessioni. Il confronto con i valori limite richiede parametri specifici e non può essere assimilato alla normale illuminazione. In molte situazioni è necessario determinare la zona di rischio, la DNRO e le condizioni operative sicure.</w:t>
            </w:r>
          </w:p>
        </w:tc>
        <w:tc>
          <w:tcPr>
            <w:tcW w:w="0" w:type="auto"/>
            <w:hideMark/>
          </w:tcPr>
          <w:p w14:paraId="60AC536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valutazione laser richiede competenze specialistiche e può determinare aree controllate, DPI con densità ottica adeguata e procedure di accesso.</w:t>
            </w:r>
          </w:p>
        </w:tc>
      </w:tr>
      <w:tr w:rsidR="0040502B" w:rsidRPr="0040502B" w14:paraId="04E2F1E9" w14:textId="77777777" w:rsidTr="0040502B">
        <w:tc>
          <w:tcPr>
            <w:tcW w:w="0" w:type="auto"/>
            <w:hideMark/>
          </w:tcPr>
          <w:p w14:paraId="2390CBE8"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10</w:t>
            </w:r>
          </w:p>
        </w:tc>
        <w:tc>
          <w:tcPr>
            <w:tcW w:w="0" w:type="auto"/>
            <w:hideMark/>
          </w:tcPr>
          <w:p w14:paraId="04EB505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B.2.3</w:t>
            </w:r>
          </w:p>
        </w:tc>
        <w:tc>
          <w:tcPr>
            <w:tcW w:w="0" w:type="auto"/>
            <w:hideMark/>
          </w:tcPr>
          <w:p w14:paraId="5274B60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Che cosa sono la DNRO e la EMP di un laser? Come si calcolano?</w:t>
            </w:r>
          </w:p>
        </w:tc>
        <w:tc>
          <w:tcPr>
            <w:tcW w:w="0" w:type="auto"/>
            <w:hideMark/>
          </w:tcPr>
          <w:p w14:paraId="6278D1E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 xml:space="preserve">La </w:t>
            </w:r>
            <w:r w:rsidRPr="0040502B">
              <w:rPr>
                <w:rFonts w:ascii="Times New Roman" w:eastAsia="Times New Roman" w:hAnsi="Times New Roman" w:cs="Times New Roman"/>
                <w:b/>
                <w:bCs/>
                <w:kern w:val="0"/>
                <w:sz w:val="24"/>
                <w:szCs w:val="24"/>
                <w:lang w:eastAsia="it-IT"/>
                <w14:ligatures w14:val="none"/>
              </w:rPr>
              <w:t>DNRO</w:t>
            </w:r>
            <w:r w:rsidRPr="0040502B">
              <w:rPr>
                <w:rFonts w:ascii="Times New Roman" w:eastAsia="Times New Roman" w:hAnsi="Times New Roman" w:cs="Times New Roman"/>
                <w:kern w:val="0"/>
                <w:sz w:val="24"/>
                <w:szCs w:val="24"/>
                <w:lang w:eastAsia="it-IT"/>
                <w14:ligatures w14:val="none"/>
              </w:rPr>
              <w:t>, Distanza Nominale di Rischio Oculare, è la distanza entro la quale l’esposizione al fascio laser può superare il livello considerato sicuro per l’occhio. L’</w:t>
            </w:r>
            <w:r w:rsidRPr="0040502B">
              <w:rPr>
                <w:rFonts w:ascii="Times New Roman" w:eastAsia="Times New Roman" w:hAnsi="Times New Roman" w:cs="Times New Roman"/>
                <w:b/>
                <w:bCs/>
                <w:kern w:val="0"/>
                <w:sz w:val="24"/>
                <w:szCs w:val="24"/>
                <w:lang w:eastAsia="it-IT"/>
                <w14:ligatures w14:val="none"/>
              </w:rPr>
              <w:t>EMP</w:t>
            </w:r>
            <w:r w:rsidRPr="0040502B">
              <w:rPr>
                <w:rFonts w:ascii="Times New Roman" w:eastAsia="Times New Roman" w:hAnsi="Times New Roman" w:cs="Times New Roman"/>
                <w:kern w:val="0"/>
                <w:sz w:val="24"/>
                <w:szCs w:val="24"/>
                <w:lang w:eastAsia="it-IT"/>
                <w14:ligatures w14:val="none"/>
              </w:rPr>
              <w:t>, Esposizione Massima Permessa, rappresenta il livello massimo di esposizione ritenuto ammissibile per specifiche condizioni. Il loro calcolo dipende da lunghezza d’onda, potenza o energia, durata, divergenza, diametro del fascio e modalità di esposizione.</w:t>
            </w:r>
          </w:p>
        </w:tc>
        <w:tc>
          <w:tcPr>
            <w:tcW w:w="0" w:type="auto"/>
            <w:hideMark/>
          </w:tcPr>
          <w:p w14:paraId="5019B28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Serve a definire distanze di sicurezza, zona laser controllata, barriere, segnaletica e DPI oculari.</w:t>
            </w:r>
          </w:p>
        </w:tc>
      </w:tr>
      <w:tr w:rsidR="0040502B" w:rsidRPr="0040502B" w14:paraId="0EAC7594" w14:textId="77777777" w:rsidTr="0040502B">
        <w:tc>
          <w:tcPr>
            <w:tcW w:w="0" w:type="auto"/>
            <w:hideMark/>
          </w:tcPr>
          <w:p w14:paraId="11673DB5"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11</w:t>
            </w:r>
          </w:p>
        </w:tc>
        <w:tc>
          <w:tcPr>
            <w:tcW w:w="0" w:type="auto"/>
            <w:hideMark/>
          </w:tcPr>
          <w:p w14:paraId="40B6F5D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B.3</w:t>
            </w:r>
          </w:p>
        </w:tc>
        <w:tc>
          <w:tcPr>
            <w:tcW w:w="0" w:type="auto"/>
            <w:hideMark/>
          </w:tcPr>
          <w:p w14:paraId="4602E01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stima l’incertezza di misura?</w:t>
            </w:r>
          </w:p>
        </w:tc>
        <w:tc>
          <w:tcPr>
            <w:tcW w:w="0" w:type="auto"/>
            <w:hideMark/>
          </w:tcPr>
          <w:p w14:paraId="775BFD7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L’incertezza di misura deve considerare contributi legati alla strumentazione, alla taratura, alla risposta spettrale, alla geometria di misura, alla distanza, all’allineamento, alla stabilità della sorgente, alla ripetibilità e alla variabilità delle condizioni operative. Deve essere documentata in modo trasparente, perché incide sull’affidabilità del confronto con i valori limite.</w:t>
            </w:r>
          </w:p>
        </w:tc>
        <w:tc>
          <w:tcPr>
            <w:tcW w:w="0" w:type="auto"/>
            <w:hideMark/>
          </w:tcPr>
          <w:p w14:paraId="1F189F8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Una misura senza incertezza dichiarata è tecnicamente incompleta e può portare a sottostimare o sovrastimare il rischio.</w:t>
            </w:r>
          </w:p>
        </w:tc>
      </w:tr>
      <w:tr w:rsidR="0040502B" w:rsidRPr="0040502B" w14:paraId="002CF2AC" w14:textId="77777777" w:rsidTr="0040502B">
        <w:tc>
          <w:tcPr>
            <w:tcW w:w="0" w:type="auto"/>
            <w:hideMark/>
          </w:tcPr>
          <w:p w14:paraId="09277474"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12</w:t>
            </w:r>
          </w:p>
        </w:tc>
        <w:tc>
          <w:tcPr>
            <w:tcW w:w="0" w:type="auto"/>
            <w:hideMark/>
          </w:tcPr>
          <w:p w14:paraId="49AB36C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B.4</w:t>
            </w:r>
          </w:p>
        </w:tc>
        <w:tc>
          <w:tcPr>
            <w:tcW w:w="0" w:type="auto"/>
            <w:hideMark/>
          </w:tcPr>
          <w:p w14:paraId="4860F8F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tiene conto dell’incertezza di misura ai fini del confronto con i VLE?</w:t>
            </w:r>
          </w:p>
        </w:tc>
        <w:tc>
          <w:tcPr>
            <w:tcW w:w="0" w:type="auto"/>
            <w:hideMark/>
          </w:tcPr>
          <w:p w14:paraId="4B3CB81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Quando il valore misurato è vicino al valore limite, l’incertezza diventa determinante. In ottica prevenzionistica occorre adottare un criterio cautelativo, soprattutto se la variabilità della sorgente o delle condizioni operative può determinare superamenti. Il confronto deve quindi essere interpretato considerando il valore misurato e il relativo intervallo di incertezza.</w:t>
            </w:r>
          </w:p>
        </w:tc>
        <w:tc>
          <w:tcPr>
            <w:tcW w:w="0" w:type="auto"/>
            <w:hideMark/>
          </w:tcPr>
          <w:p w14:paraId="736EE3F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Se il risultato è prossimo al limite, è opportuno rafforzare le misure di prevenzione o ripetere/approfondire la valutazione.</w:t>
            </w:r>
          </w:p>
        </w:tc>
      </w:tr>
      <w:tr w:rsidR="0040502B" w:rsidRPr="0040502B" w14:paraId="33621A3F" w14:textId="77777777" w:rsidTr="0040502B">
        <w:tc>
          <w:tcPr>
            <w:tcW w:w="0" w:type="auto"/>
            <w:hideMark/>
          </w:tcPr>
          <w:p w14:paraId="576665E8"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13</w:t>
            </w:r>
          </w:p>
        </w:tc>
        <w:tc>
          <w:tcPr>
            <w:tcW w:w="0" w:type="auto"/>
            <w:hideMark/>
          </w:tcPr>
          <w:p w14:paraId="0E6062A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B.5</w:t>
            </w:r>
          </w:p>
        </w:tc>
        <w:tc>
          <w:tcPr>
            <w:tcW w:w="0" w:type="auto"/>
            <w:hideMark/>
          </w:tcPr>
          <w:p w14:paraId="22B6769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indicazioni per le misurazioni di esposizioni a sorgenti pulsate di radiazioni non coerenti?</w:t>
            </w:r>
          </w:p>
        </w:tc>
        <w:tc>
          <w:tcPr>
            <w:tcW w:w="0" w:type="auto"/>
            <w:hideMark/>
          </w:tcPr>
          <w:p w14:paraId="4CEF6BD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Per le sorgenti pulsate non è sufficiente considerare solo il valore medio. Occorre valutare durata dell’impulso, frequenza, energia per impulso, numero di impulsi, esposizione cumulativa e possibili picchi. Alcuni effetti biologici dipendono dalla singola esposizione pulsata e non solo dalla dose complessiva.</w:t>
            </w:r>
          </w:p>
        </w:tc>
        <w:tc>
          <w:tcPr>
            <w:tcW w:w="0" w:type="auto"/>
            <w:hideMark/>
          </w:tcPr>
          <w:p w14:paraId="18092F2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sorgenti pulsate richiedono strumenti e procedure capaci di rilevare picchi e sequenze temporali, evitando valutazioni semplificate non cautelative.</w:t>
            </w:r>
          </w:p>
        </w:tc>
      </w:tr>
      <w:tr w:rsidR="0040502B" w:rsidRPr="0040502B" w14:paraId="1B1FAF54" w14:textId="77777777" w:rsidTr="0040502B">
        <w:tc>
          <w:tcPr>
            <w:tcW w:w="0" w:type="auto"/>
            <w:hideMark/>
          </w:tcPr>
          <w:p w14:paraId="5595B622"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14</w:t>
            </w:r>
          </w:p>
        </w:tc>
        <w:tc>
          <w:tcPr>
            <w:tcW w:w="0" w:type="auto"/>
            <w:hideMark/>
          </w:tcPr>
          <w:p w14:paraId="6B79089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B.6</w:t>
            </w:r>
          </w:p>
        </w:tc>
        <w:tc>
          <w:tcPr>
            <w:tcW w:w="0" w:type="auto"/>
            <w:hideMark/>
          </w:tcPr>
          <w:p w14:paraId="1D4CA68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requisiti deve avere la strumentazione di misura?</w:t>
            </w:r>
          </w:p>
        </w:tc>
        <w:tc>
          <w:tcPr>
            <w:tcW w:w="0" w:type="auto"/>
            <w:hideMark/>
          </w:tcPr>
          <w:p w14:paraId="209DA97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strumentazione deve essere adeguata alla banda spettrale di interesse, alla grandezza da misurare, ai livelli attesi, alla risposta temporale, alla geometria di misura e alla sensibilità richiesta. Deve essere tarata, mantenuta efficiente e accompagnata da documentazione tecnica. Per laser e sorgenti pulsate possono essere necessari strumenti specifici.</w:t>
            </w:r>
          </w:p>
        </w:tc>
        <w:tc>
          <w:tcPr>
            <w:tcW w:w="0" w:type="auto"/>
            <w:hideMark/>
          </w:tcPr>
          <w:p w14:paraId="5B7B0FF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L’uso di luxmetri o strumenti non idonei non è sufficiente per valutare correttamente il rischio ROA.</w:t>
            </w:r>
          </w:p>
        </w:tc>
      </w:tr>
      <w:tr w:rsidR="0040502B" w:rsidRPr="0040502B" w14:paraId="20DC3A1D" w14:textId="77777777" w:rsidTr="0040502B">
        <w:tc>
          <w:tcPr>
            <w:tcW w:w="0" w:type="auto"/>
            <w:hideMark/>
          </w:tcPr>
          <w:p w14:paraId="2995D906"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15</w:t>
            </w:r>
          </w:p>
        </w:tc>
        <w:tc>
          <w:tcPr>
            <w:tcW w:w="0" w:type="auto"/>
            <w:hideMark/>
          </w:tcPr>
          <w:p w14:paraId="74B374C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B.6.1</w:t>
            </w:r>
          </w:p>
        </w:tc>
        <w:tc>
          <w:tcPr>
            <w:tcW w:w="0" w:type="auto"/>
            <w:hideMark/>
          </w:tcPr>
          <w:p w14:paraId="2394AA1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 è la periodicità della taratura?</w:t>
            </w:r>
          </w:p>
        </w:tc>
        <w:tc>
          <w:tcPr>
            <w:tcW w:w="0" w:type="auto"/>
            <w:hideMark/>
          </w:tcPr>
          <w:p w14:paraId="194E61D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periodicità della taratura deve essere definita in funzione delle indicazioni del fabbricante, dell’uso dello strumento, della criticità delle misure, delle condizioni di impiego e del sistema qualità adottato. In ogni caso deve essere garantita la riferibilità metrologica e la disponibilità di certificati validi.</w:t>
            </w:r>
          </w:p>
        </w:tc>
        <w:tc>
          <w:tcPr>
            <w:tcW w:w="0" w:type="auto"/>
            <w:hideMark/>
          </w:tcPr>
          <w:p w14:paraId="6F0B558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relazione tecnica deve riportare strumenti utilizzati e stato di taratura, per garantire attendibilità della misura.</w:t>
            </w:r>
          </w:p>
        </w:tc>
      </w:tr>
      <w:tr w:rsidR="0040502B" w:rsidRPr="0040502B" w14:paraId="2EDDF69E" w14:textId="77777777" w:rsidTr="0040502B">
        <w:tc>
          <w:tcPr>
            <w:tcW w:w="0" w:type="auto"/>
            <w:hideMark/>
          </w:tcPr>
          <w:p w14:paraId="3BAE34F1"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16</w:t>
            </w:r>
          </w:p>
        </w:tc>
        <w:tc>
          <w:tcPr>
            <w:tcW w:w="0" w:type="auto"/>
            <w:hideMark/>
          </w:tcPr>
          <w:p w14:paraId="2531C33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B.7</w:t>
            </w:r>
          </w:p>
        </w:tc>
        <w:tc>
          <w:tcPr>
            <w:tcW w:w="0" w:type="auto"/>
            <w:hideMark/>
          </w:tcPr>
          <w:p w14:paraId="0119E6C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valuta il livello di esposizione alla radiazione contemporanea di più sorgenti nel visibile?</w:t>
            </w:r>
          </w:p>
        </w:tc>
        <w:tc>
          <w:tcPr>
            <w:tcW w:w="0" w:type="auto"/>
            <w:hideMark/>
          </w:tcPr>
          <w:p w14:paraId="59B707B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Quando più sorgenti contribuiscono all’esposizione dello stesso lavoratore, occorre valutare il contributo complessivo, considerando tempi, distanze, geometria, direzione di osservazione e organo bersaglio. Se le sorgenti agiscono nella stessa banda e sullo stesso effetto biologico, i contributi devono essere combinati secondo criteri cautelativi.</w:t>
            </w:r>
          </w:p>
        </w:tc>
        <w:tc>
          <w:tcPr>
            <w:tcW w:w="0" w:type="auto"/>
            <w:hideMark/>
          </w:tcPr>
          <w:p w14:paraId="5DAF730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Non si valuta una sorgente isolata se il lavoratore è esposto contemporaneamente a più emissioni rilevanti.</w:t>
            </w:r>
          </w:p>
        </w:tc>
      </w:tr>
      <w:tr w:rsidR="0040502B" w:rsidRPr="0040502B" w14:paraId="4A53BD80" w14:textId="77777777" w:rsidTr="0040502B">
        <w:tc>
          <w:tcPr>
            <w:tcW w:w="0" w:type="auto"/>
            <w:hideMark/>
          </w:tcPr>
          <w:p w14:paraId="144AE205"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17</w:t>
            </w:r>
          </w:p>
        </w:tc>
        <w:tc>
          <w:tcPr>
            <w:tcW w:w="0" w:type="auto"/>
            <w:hideMark/>
          </w:tcPr>
          <w:p w14:paraId="17CD8C6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B.8</w:t>
            </w:r>
          </w:p>
        </w:tc>
        <w:tc>
          <w:tcPr>
            <w:tcW w:w="0" w:type="auto"/>
            <w:hideMark/>
          </w:tcPr>
          <w:p w14:paraId="438FC97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metodiche utilizzare per misurare esposizioni a IR generate da corpi caldi/incandescenti ai fini del confronto con i VLE?</w:t>
            </w:r>
          </w:p>
        </w:tc>
        <w:tc>
          <w:tcPr>
            <w:tcW w:w="0" w:type="auto"/>
            <w:hideMark/>
          </w:tcPr>
          <w:p w14:paraId="7E30E51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sorgenti calde o incandescenti generano radiazione infrarossa che può causare stress termico locale, danni oculari e danni cutanei. La misura deve considerare temperatura apparente, dimensione della sorgente, distanza, durata, angolo di esposizione, presenza di schermi e mansione reale. Per corpi incandescenti può essere rilevante anche la componente visibile.</w:t>
            </w:r>
          </w:p>
        </w:tc>
        <w:tc>
          <w:tcPr>
            <w:tcW w:w="0" w:type="auto"/>
            <w:hideMark/>
          </w:tcPr>
          <w:p w14:paraId="34D0D3A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Serve una valutazione specifica per forni, metalli fusi, vetro, processi ad alta temperatura e lavorazioni con esposizione a calore radiante.</w:t>
            </w:r>
          </w:p>
        </w:tc>
      </w:tr>
      <w:tr w:rsidR="0040502B" w:rsidRPr="0040502B" w14:paraId="68304386" w14:textId="77777777" w:rsidTr="0040502B">
        <w:tc>
          <w:tcPr>
            <w:tcW w:w="0" w:type="auto"/>
            <w:hideMark/>
          </w:tcPr>
          <w:p w14:paraId="0999B491"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18</w:t>
            </w:r>
          </w:p>
        </w:tc>
        <w:tc>
          <w:tcPr>
            <w:tcW w:w="0" w:type="auto"/>
            <w:hideMark/>
          </w:tcPr>
          <w:p w14:paraId="68B0C2B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B.9</w:t>
            </w:r>
          </w:p>
        </w:tc>
        <w:tc>
          <w:tcPr>
            <w:tcW w:w="0" w:type="auto"/>
            <w:hideMark/>
          </w:tcPr>
          <w:p w14:paraId="602ACE7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determina la dimensione angolare della sorgente di un fascio laser ai fini del calcolo dei parametri C6 e CE?</w:t>
            </w:r>
          </w:p>
        </w:tc>
        <w:tc>
          <w:tcPr>
            <w:tcW w:w="0" w:type="auto"/>
            <w:hideMark/>
          </w:tcPr>
          <w:p w14:paraId="6540230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dimensione angolare della sorgente è il parametro che descrive quanto la sorgente appare estesa all’osservatore. Nei laser incide sulla valutazione del rischio retinico e sul calcolo di coefficienti correttivi. Dipende dalla dimensione apparente del fascio o della sorgente e dalla distanza di osservazione.</w:t>
            </w:r>
          </w:p>
        </w:tc>
        <w:tc>
          <w:tcPr>
            <w:tcW w:w="0" w:type="auto"/>
            <w:hideMark/>
          </w:tcPr>
          <w:p w14:paraId="688C449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Una corretta determinazione della dimensione angolare è necessaria per calcoli laser affidabili, soprattutto nei casi non elementari o con sorgenti estese.</w:t>
            </w:r>
          </w:p>
        </w:tc>
      </w:tr>
      <w:tr w:rsidR="0040502B" w:rsidRPr="0040502B" w14:paraId="417DC270" w14:textId="77777777" w:rsidTr="0040502B">
        <w:tc>
          <w:tcPr>
            <w:tcW w:w="0" w:type="auto"/>
            <w:hideMark/>
          </w:tcPr>
          <w:p w14:paraId="1E9B5063"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19</w:t>
            </w:r>
          </w:p>
        </w:tc>
        <w:tc>
          <w:tcPr>
            <w:tcW w:w="0" w:type="auto"/>
            <w:hideMark/>
          </w:tcPr>
          <w:p w14:paraId="47679E3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C.1</w:t>
            </w:r>
          </w:p>
        </w:tc>
        <w:tc>
          <w:tcPr>
            <w:tcW w:w="0" w:type="auto"/>
            <w:hideMark/>
          </w:tcPr>
          <w:p w14:paraId="6D2E4D7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può effettuare la valutazione del rischio di esposizione alle ROA?</w:t>
            </w:r>
          </w:p>
        </w:tc>
        <w:tc>
          <w:tcPr>
            <w:tcW w:w="0" w:type="auto"/>
            <w:hideMark/>
          </w:tcPr>
          <w:p w14:paraId="245DEC9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valutazione può essere effettuata mediante giustificazione documentata, analisi dei dati del fabbricante, classificazione della sorgente, calcoli, banche dati, misure strumentali o combinazione di questi elementi. Deve identificare sorgenti, mansioni, lavoratori esposti, tempi, distanze, condizioni normali e manutentive, soggetti sensibili, DPI e misure esistenti.</w:t>
            </w:r>
          </w:p>
        </w:tc>
        <w:tc>
          <w:tcPr>
            <w:tcW w:w="0" w:type="auto"/>
            <w:hideMark/>
          </w:tcPr>
          <w:p w14:paraId="424A8FD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DVR deve contenere una valutazione specifica, proporzionata al rischio, non una generica dichiarazione di assenza di pericolo.</w:t>
            </w:r>
          </w:p>
        </w:tc>
      </w:tr>
      <w:tr w:rsidR="0040502B" w:rsidRPr="0040502B" w14:paraId="76C56A7F" w14:textId="77777777" w:rsidTr="0040502B">
        <w:tc>
          <w:tcPr>
            <w:tcW w:w="0" w:type="auto"/>
            <w:hideMark/>
          </w:tcPr>
          <w:p w14:paraId="10992286"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20</w:t>
            </w:r>
          </w:p>
        </w:tc>
        <w:tc>
          <w:tcPr>
            <w:tcW w:w="0" w:type="auto"/>
            <w:hideMark/>
          </w:tcPr>
          <w:p w14:paraId="5DCE2E5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C.2</w:t>
            </w:r>
          </w:p>
        </w:tc>
        <w:tc>
          <w:tcPr>
            <w:tcW w:w="0" w:type="auto"/>
            <w:hideMark/>
          </w:tcPr>
          <w:p w14:paraId="49D5B51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fonti sono utilizzabili per la valutazione del rischio?</w:t>
            </w:r>
          </w:p>
        </w:tc>
        <w:tc>
          <w:tcPr>
            <w:tcW w:w="0" w:type="auto"/>
            <w:hideMark/>
          </w:tcPr>
          <w:p w14:paraId="26925276"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Sono utilizzabili manuali d’uso, schede tecniche, dati di emissione del fabbricante, classificazioni secondo norme tecniche, banche dati qualificate, letteratura tecnica, misurazioni, calcoli, procedure operative e informazioni sulla manutenzione. Le fonti devono essere pertinenti alle reali condizioni di utilizzo.</w:t>
            </w:r>
          </w:p>
        </w:tc>
        <w:tc>
          <w:tcPr>
            <w:tcW w:w="0" w:type="auto"/>
            <w:hideMark/>
          </w:tcPr>
          <w:p w14:paraId="5672376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 xml:space="preserve">Prima di misurare, è opportuno raccogliere documentazione tecnica; </w:t>
            </w:r>
            <w:proofErr w:type="gramStart"/>
            <w:r w:rsidRPr="0040502B">
              <w:rPr>
                <w:rFonts w:ascii="Times New Roman" w:eastAsia="Times New Roman" w:hAnsi="Times New Roman" w:cs="Times New Roman"/>
                <w:kern w:val="0"/>
                <w:sz w:val="24"/>
                <w:szCs w:val="24"/>
                <w:lang w:eastAsia="it-IT"/>
                <w14:ligatures w14:val="none"/>
              </w:rPr>
              <w:t>tuttavia</w:t>
            </w:r>
            <w:proofErr w:type="gramEnd"/>
            <w:r w:rsidRPr="0040502B">
              <w:rPr>
                <w:rFonts w:ascii="Times New Roman" w:eastAsia="Times New Roman" w:hAnsi="Times New Roman" w:cs="Times New Roman"/>
                <w:kern w:val="0"/>
                <w:sz w:val="24"/>
                <w:szCs w:val="24"/>
                <w:lang w:eastAsia="it-IT"/>
                <w14:ligatures w14:val="none"/>
              </w:rPr>
              <w:t xml:space="preserve"> i dati di catalogo vanno verificati rispetto all’uso reale.</w:t>
            </w:r>
          </w:p>
        </w:tc>
      </w:tr>
      <w:tr w:rsidR="0040502B" w:rsidRPr="0040502B" w14:paraId="5CB0A87C" w14:textId="77777777" w:rsidTr="0040502B">
        <w:tc>
          <w:tcPr>
            <w:tcW w:w="0" w:type="auto"/>
            <w:hideMark/>
          </w:tcPr>
          <w:p w14:paraId="0E938DCA"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21</w:t>
            </w:r>
          </w:p>
        </w:tc>
        <w:tc>
          <w:tcPr>
            <w:tcW w:w="0" w:type="auto"/>
            <w:hideMark/>
          </w:tcPr>
          <w:p w14:paraId="4DB3376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C.3</w:t>
            </w:r>
          </w:p>
        </w:tc>
        <w:tc>
          <w:tcPr>
            <w:tcW w:w="0" w:type="auto"/>
            <w:hideMark/>
          </w:tcPr>
          <w:p w14:paraId="6F614D0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valuta il rischio per sistemi laser?</w:t>
            </w:r>
          </w:p>
        </w:tc>
        <w:tc>
          <w:tcPr>
            <w:tcW w:w="0" w:type="auto"/>
            <w:hideMark/>
          </w:tcPr>
          <w:p w14:paraId="02D4BA8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valutazione dei laser deve considerare classe, lunghezza d’onda, potenza o energia, durata dell’emissione, accessibilità del fascio, riflessioni, manutenzione, allineamento, uso intenzionale o accidentale, presenza di pubblico o terzi e dispositivi di sicurezza. Per classi elevate occorrono procedure specifiche, aree controllate e personale competente.</w:t>
            </w:r>
          </w:p>
        </w:tc>
        <w:tc>
          <w:tcPr>
            <w:tcW w:w="0" w:type="auto"/>
            <w:hideMark/>
          </w:tcPr>
          <w:p w14:paraId="360443F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laser richiedono una valutazione dedicata, distinta dalle altre sorgenti ROA, con particolare attenzione al rischio oculare.</w:t>
            </w:r>
          </w:p>
        </w:tc>
      </w:tr>
      <w:tr w:rsidR="0040502B" w:rsidRPr="0040502B" w14:paraId="596FA0BB" w14:textId="77777777" w:rsidTr="0040502B">
        <w:tc>
          <w:tcPr>
            <w:tcW w:w="0" w:type="auto"/>
            <w:hideMark/>
          </w:tcPr>
          <w:p w14:paraId="003C85A7"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22</w:t>
            </w:r>
          </w:p>
        </w:tc>
        <w:tc>
          <w:tcPr>
            <w:tcW w:w="0" w:type="auto"/>
            <w:hideMark/>
          </w:tcPr>
          <w:p w14:paraId="2CDFFAA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C.3.1</w:t>
            </w:r>
          </w:p>
        </w:tc>
        <w:tc>
          <w:tcPr>
            <w:tcW w:w="0" w:type="auto"/>
            <w:hideMark/>
          </w:tcPr>
          <w:p w14:paraId="279FF89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sono classificati i laser ai sensi della norma CEI EN IEC 60825-1?</w:t>
            </w:r>
          </w:p>
        </w:tc>
        <w:tc>
          <w:tcPr>
            <w:tcW w:w="0" w:type="auto"/>
            <w:hideMark/>
          </w:tcPr>
          <w:p w14:paraId="3F0FAC5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laser sono classificati in base alla pericolosità dell’emissione accessibile. Le classi inferiori sono generalmente sicure nelle condizioni d’uso previste, mentre le classi superiori possono essere pericolose per visione diretta, riflessione speculare e, nei casi più gravi, anche per riflessione diffusa, cute e incendio. La classificazione serve come punto di partenza, ma non sostituisce la valutazione delle condizioni reali.</w:t>
            </w:r>
          </w:p>
        </w:tc>
        <w:tc>
          <w:tcPr>
            <w:tcW w:w="0" w:type="auto"/>
            <w:hideMark/>
          </w:tcPr>
          <w:p w14:paraId="575455E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classe laser determina livello di attenzione, procedure, segnaletica, DPI e necessità di figure competenti.</w:t>
            </w:r>
          </w:p>
        </w:tc>
      </w:tr>
      <w:tr w:rsidR="0040502B" w:rsidRPr="0040502B" w14:paraId="15A2B7CB" w14:textId="77777777" w:rsidTr="0040502B">
        <w:tc>
          <w:tcPr>
            <w:tcW w:w="0" w:type="auto"/>
            <w:hideMark/>
          </w:tcPr>
          <w:p w14:paraId="2A7619C6"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23</w:t>
            </w:r>
          </w:p>
        </w:tc>
        <w:tc>
          <w:tcPr>
            <w:tcW w:w="0" w:type="auto"/>
            <w:hideMark/>
          </w:tcPr>
          <w:p w14:paraId="0FC793B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C.4</w:t>
            </w:r>
          </w:p>
        </w:tc>
        <w:tc>
          <w:tcPr>
            <w:tcW w:w="0" w:type="auto"/>
            <w:hideMark/>
          </w:tcPr>
          <w:p w14:paraId="767B156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Ai fini della valutazione del rischio, è sempre necessario misurare e/o calcolare l’esposizione?</w:t>
            </w:r>
          </w:p>
        </w:tc>
        <w:tc>
          <w:tcPr>
            <w:tcW w:w="0" w:type="auto"/>
            <w:hideMark/>
          </w:tcPr>
          <w:p w14:paraId="6AF0A0D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Non sempre. Quando la sorgente è palesemente innocua nelle condizioni di impiego, oppure quando la classificazione e le istruzioni del fabbricante consentono di escludere un rischio significativo, la valutazione può concludersi con una giustificazione. Se invece il rischio non è chiaramente trascurabile, servono calcoli, misure o approfondimenti.</w:t>
            </w:r>
          </w:p>
        </w:tc>
        <w:tc>
          <w:tcPr>
            <w:tcW w:w="0" w:type="auto"/>
            <w:hideMark/>
          </w:tcPr>
          <w:p w14:paraId="2C56B67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“giustificazione” è ammessa solo se motivata e documentata; non può essere usata per evitare valutazioni necessarie.</w:t>
            </w:r>
          </w:p>
        </w:tc>
      </w:tr>
      <w:tr w:rsidR="0040502B" w:rsidRPr="0040502B" w14:paraId="66AC8323" w14:textId="77777777" w:rsidTr="0040502B">
        <w:tc>
          <w:tcPr>
            <w:tcW w:w="0" w:type="auto"/>
            <w:hideMark/>
          </w:tcPr>
          <w:p w14:paraId="1E71A1F1"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24</w:t>
            </w:r>
          </w:p>
        </w:tc>
        <w:tc>
          <w:tcPr>
            <w:tcW w:w="0" w:type="auto"/>
            <w:hideMark/>
          </w:tcPr>
          <w:p w14:paraId="085E611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C.5</w:t>
            </w:r>
          </w:p>
        </w:tc>
        <w:tc>
          <w:tcPr>
            <w:tcW w:w="0" w:type="auto"/>
            <w:hideMark/>
          </w:tcPr>
          <w:p w14:paraId="27BE535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condizioni consentono di concludere la valutazione con la “giustificazione”?</w:t>
            </w:r>
          </w:p>
        </w:tc>
        <w:tc>
          <w:tcPr>
            <w:tcW w:w="0" w:type="auto"/>
            <w:hideMark/>
          </w:tcPr>
          <w:p w14:paraId="4B910B9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giustificazione è possibile quando natura ed entità dell’esposizione rendono non necessaria una valutazione più dettagliata. Devono essere considerati uso normale, manutenzione, accesso a parti interne, lavoratori sensibili, sorgenti multiple e condizioni anomale ragionevolmente prevedibili. La conclusione deve essere scritta nel DVR con motivazione tecnica.</w:t>
            </w:r>
          </w:p>
        </w:tc>
        <w:tc>
          <w:tcPr>
            <w:tcW w:w="0" w:type="auto"/>
            <w:hideMark/>
          </w:tcPr>
          <w:p w14:paraId="1676CD3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Consente una valutazione semplificata, ma impone comunque tracciabilità e motivazione della scelta.</w:t>
            </w:r>
          </w:p>
        </w:tc>
      </w:tr>
      <w:tr w:rsidR="0040502B" w:rsidRPr="0040502B" w14:paraId="47ED3CB3" w14:textId="77777777" w:rsidTr="0040502B">
        <w:tc>
          <w:tcPr>
            <w:tcW w:w="0" w:type="auto"/>
            <w:hideMark/>
          </w:tcPr>
          <w:p w14:paraId="032FB7BA"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25</w:t>
            </w:r>
          </w:p>
        </w:tc>
        <w:tc>
          <w:tcPr>
            <w:tcW w:w="0" w:type="auto"/>
            <w:hideMark/>
          </w:tcPr>
          <w:p w14:paraId="58A7FE2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C.5.1</w:t>
            </w:r>
          </w:p>
        </w:tc>
        <w:tc>
          <w:tcPr>
            <w:tcW w:w="0" w:type="auto"/>
            <w:hideMark/>
          </w:tcPr>
          <w:p w14:paraId="3FCE4F7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quali casi un apparato laser può considerarsi “giustificabile”?</w:t>
            </w:r>
          </w:p>
        </w:tc>
        <w:tc>
          <w:tcPr>
            <w:tcW w:w="0" w:type="auto"/>
            <w:hideMark/>
          </w:tcPr>
          <w:p w14:paraId="68CAD67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Un apparato laser può essere considerato giustificabile quando, nelle condizioni normali di uso, il fascio pericoloso non è accessibile o il prodotto è progettato in modo da impedire esposizioni pericolose. La giustificabilità decade o deve essere rivalutata in caso di manutenzione, apertura di ripari, esclusione di interblocchi o uso difforme.</w:t>
            </w:r>
          </w:p>
        </w:tc>
        <w:tc>
          <w:tcPr>
            <w:tcW w:w="0" w:type="auto"/>
            <w:hideMark/>
          </w:tcPr>
          <w:p w14:paraId="4892EF2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Anche un laser apparentemente sicuro può richiedere valutazione se si accede a parti interne o si alterano le condizioni previste dal fabbricante.</w:t>
            </w:r>
          </w:p>
        </w:tc>
      </w:tr>
      <w:tr w:rsidR="0040502B" w:rsidRPr="0040502B" w14:paraId="6AE85063" w14:textId="77777777" w:rsidTr="0040502B">
        <w:tc>
          <w:tcPr>
            <w:tcW w:w="0" w:type="auto"/>
            <w:hideMark/>
          </w:tcPr>
          <w:p w14:paraId="733E8C32"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26</w:t>
            </w:r>
          </w:p>
        </w:tc>
        <w:tc>
          <w:tcPr>
            <w:tcW w:w="0" w:type="auto"/>
            <w:hideMark/>
          </w:tcPr>
          <w:p w14:paraId="41954CF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C.5.2</w:t>
            </w:r>
          </w:p>
        </w:tc>
        <w:tc>
          <w:tcPr>
            <w:tcW w:w="0" w:type="auto"/>
            <w:hideMark/>
          </w:tcPr>
          <w:p w14:paraId="17B610F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Un prodotto laser di classe 1 con laser interno in classe 4 può considerarsi “giustificabile”?</w:t>
            </w:r>
          </w:p>
        </w:tc>
        <w:tc>
          <w:tcPr>
            <w:tcW w:w="0" w:type="auto"/>
            <w:hideMark/>
          </w:tcPr>
          <w:p w14:paraId="3EB5DC4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 xml:space="preserve">Può essere considerato giustificabile solo se l’involucro, gli interblocchi e le protezioni impediscono l’accesso alla radiazione di classe </w:t>
            </w:r>
            <w:proofErr w:type="gramStart"/>
            <w:r w:rsidRPr="0040502B">
              <w:rPr>
                <w:rFonts w:ascii="Times New Roman" w:eastAsia="Times New Roman" w:hAnsi="Times New Roman" w:cs="Times New Roman"/>
                <w:kern w:val="0"/>
                <w:sz w:val="24"/>
                <w:szCs w:val="24"/>
                <w:lang w:eastAsia="it-IT"/>
                <w14:ligatures w14:val="none"/>
              </w:rPr>
              <w:t>4</w:t>
            </w:r>
            <w:proofErr w:type="gramEnd"/>
            <w:r w:rsidRPr="0040502B">
              <w:rPr>
                <w:rFonts w:ascii="Times New Roman" w:eastAsia="Times New Roman" w:hAnsi="Times New Roman" w:cs="Times New Roman"/>
                <w:kern w:val="0"/>
                <w:sz w:val="24"/>
                <w:szCs w:val="24"/>
                <w:lang w:eastAsia="it-IT"/>
                <w14:ligatures w14:val="none"/>
              </w:rPr>
              <w:t xml:space="preserve"> durante l’uso normale. Durante manutenzione, regolazione, riparazione o apertura dell’involucro, il rischio deve essere valutato considerando la classe interna effettiva.</w:t>
            </w:r>
          </w:p>
        </w:tc>
        <w:tc>
          <w:tcPr>
            <w:tcW w:w="0" w:type="auto"/>
            <w:hideMark/>
          </w:tcPr>
          <w:p w14:paraId="61CF5B2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È necessario distinguere tra uso ordinario dell’attrezzatura e attività tecniche che possono esporre al laser interno.</w:t>
            </w:r>
          </w:p>
        </w:tc>
      </w:tr>
      <w:tr w:rsidR="0040502B" w:rsidRPr="0040502B" w14:paraId="028280DE" w14:textId="77777777" w:rsidTr="0040502B">
        <w:tc>
          <w:tcPr>
            <w:tcW w:w="0" w:type="auto"/>
            <w:hideMark/>
          </w:tcPr>
          <w:p w14:paraId="6D60DDC6"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27</w:t>
            </w:r>
          </w:p>
        </w:tc>
        <w:tc>
          <w:tcPr>
            <w:tcW w:w="0" w:type="auto"/>
            <w:hideMark/>
          </w:tcPr>
          <w:p w14:paraId="3828DFD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C.6</w:t>
            </w:r>
          </w:p>
        </w:tc>
        <w:tc>
          <w:tcPr>
            <w:tcW w:w="0" w:type="auto"/>
            <w:hideMark/>
          </w:tcPr>
          <w:p w14:paraId="13208FD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È disponibile un elenco di situazioni lavorative che devono essere certamente valutate?</w:t>
            </w:r>
          </w:p>
        </w:tc>
        <w:tc>
          <w:tcPr>
            <w:tcW w:w="0" w:type="auto"/>
            <w:hideMark/>
          </w:tcPr>
          <w:p w14:paraId="633A857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Devono certamente essere valutate le attività con sorgenti ROA significative: saldatura ad arco, lampade UV, lampade germicide, forni, materiali incandescenti, laser, IPL, trattamenti estetici, fototerapia, controlli con UV, lavorazioni con fasci laser, sorgenti IR intense e manutenzioni su apparecchiature luminose.</w:t>
            </w:r>
          </w:p>
        </w:tc>
        <w:tc>
          <w:tcPr>
            <w:tcW w:w="0" w:type="auto"/>
            <w:hideMark/>
          </w:tcPr>
          <w:p w14:paraId="5720059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presenza di queste lavorazioni non consente una giustificazione generica: occorre valutazione specifica.</w:t>
            </w:r>
          </w:p>
        </w:tc>
      </w:tr>
      <w:tr w:rsidR="0040502B" w:rsidRPr="0040502B" w14:paraId="3BB858EA" w14:textId="77777777" w:rsidTr="0040502B">
        <w:tc>
          <w:tcPr>
            <w:tcW w:w="0" w:type="auto"/>
            <w:hideMark/>
          </w:tcPr>
          <w:p w14:paraId="63967B6B"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28</w:t>
            </w:r>
          </w:p>
        </w:tc>
        <w:tc>
          <w:tcPr>
            <w:tcW w:w="0" w:type="auto"/>
            <w:hideMark/>
          </w:tcPr>
          <w:p w14:paraId="1F09AF9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C.7</w:t>
            </w:r>
          </w:p>
        </w:tc>
        <w:tc>
          <w:tcPr>
            <w:tcW w:w="0" w:type="auto"/>
            <w:hideMark/>
          </w:tcPr>
          <w:p w14:paraId="51A2C83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valuta il rischio ROA da sorgenti per illuminazione?</w:t>
            </w:r>
          </w:p>
        </w:tc>
        <w:tc>
          <w:tcPr>
            <w:tcW w:w="0" w:type="auto"/>
            <w:hideMark/>
          </w:tcPr>
          <w:p w14:paraId="6CE6D57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L’illuminazione ordinaria in genere presenta rischio limitato, ma alcune sorgenti possono richiedere valutazione: LED ad alta intensità, lampade industriali, proiettori, illuminazione scenica, lampade a scarica, sistemi molto ravvicinati o sorgenti usate in manutenzione. Occorre considerare anche luce blu, abbagliamento, distanza e durata dell’esposizione.</w:t>
            </w:r>
          </w:p>
        </w:tc>
        <w:tc>
          <w:tcPr>
            <w:tcW w:w="0" w:type="auto"/>
            <w:hideMark/>
          </w:tcPr>
          <w:p w14:paraId="6E97417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Non tutta l’illuminazione è automaticamente irrilevante; alcune sorgenti devono essere verificate per condizioni d’uso reali.</w:t>
            </w:r>
          </w:p>
        </w:tc>
      </w:tr>
      <w:tr w:rsidR="0040502B" w:rsidRPr="0040502B" w14:paraId="231D831B" w14:textId="77777777" w:rsidTr="0040502B">
        <w:tc>
          <w:tcPr>
            <w:tcW w:w="0" w:type="auto"/>
            <w:hideMark/>
          </w:tcPr>
          <w:p w14:paraId="2A37D044"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29</w:t>
            </w:r>
          </w:p>
        </w:tc>
        <w:tc>
          <w:tcPr>
            <w:tcW w:w="0" w:type="auto"/>
            <w:hideMark/>
          </w:tcPr>
          <w:p w14:paraId="3A3D909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C.7.1</w:t>
            </w:r>
          </w:p>
        </w:tc>
        <w:tc>
          <w:tcPr>
            <w:tcW w:w="0" w:type="auto"/>
            <w:hideMark/>
          </w:tcPr>
          <w:p w14:paraId="66E0495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valutare il rischio da infrarossi per sistemi LED/IR?</w:t>
            </w:r>
          </w:p>
        </w:tc>
        <w:tc>
          <w:tcPr>
            <w:tcW w:w="0" w:type="auto"/>
            <w:hideMark/>
          </w:tcPr>
          <w:p w14:paraId="456B7F8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sistemi LED/IR possono emettere radiazione infrarossa invisibile, con possibile rischio oculare o cutaneo senza percezione visiva immediata. La valutazione deve considerare potenza, lunghezza d’onda, distanza, direzionalità, tempo di esposizione, accessibilità del fascio e presenza di dispositivi di visione o puntamento.</w:t>
            </w:r>
          </w:p>
        </w:tc>
        <w:tc>
          <w:tcPr>
            <w:tcW w:w="0" w:type="auto"/>
            <w:hideMark/>
          </w:tcPr>
          <w:p w14:paraId="48092D5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L’invisibilità dell’IR può aumentare il rischio, perché il lavoratore non percepisce necessariamente l’esposizione.</w:t>
            </w:r>
          </w:p>
        </w:tc>
      </w:tr>
      <w:tr w:rsidR="0040502B" w:rsidRPr="0040502B" w14:paraId="7B74611A" w14:textId="77777777" w:rsidTr="0040502B">
        <w:tc>
          <w:tcPr>
            <w:tcW w:w="0" w:type="auto"/>
            <w:hideMark/>
          </w:tcPr>
          <w:p w14:paraId="3E3B5922"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30</w:t>
            </w:r>
          </w:p>
        </w:tc>
        <w:tc>
          <w:tcPr>
            <w:tcW w:w="0" w:type="auto"/>
            <w:hideMark/>
          </w:tcPr>
          <w:p w14:paraId="05D73B4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C.8</w:t>
            </w:r>
          </w:p>
        </w:tc>
        <w:tc>
          <w:tcPr>
            <w:tcW w:w="0" w:type="auto"/>
            <w:hideMark/>
          </w:tcPr>
          <w:p w14:paraId="2D09E90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sorgenti per illuminazione generale dichiarate esenti richiedono valutazione specifica per la manutenzione?</w:t>
            </w:r>
          </w:p>
        </w:tc>
        <w:tc>
          <w:tcPr>
            <w:tcW w:w="0" w:type="auto"/>
            <w:hideMark/>
          </w:tcPr>
          <w:p w14:paraId="703DDAB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 xml:space="preserve">Anche sorgenti dichiarate esenti nell’uso ordinario possono diventare </w:t>
            </w:r>
            <w:proofErr w:type="gramStart"/>
            <w:r w:rsidRPr="0040502B">
              <w:rPr>
                <w:rFonts w:ascii="Times New Roman" w:eastAsia="Times New Roman" w:hAnsi="Times New Roman" w:cs="Times New Roman"/>
                <w:kern w:val="0"/>
                <w:sz w:val="24"/>
                <w:szCs w:val="24"/>
                <w:lang w:eastAsia="it-IT"/>
                <w14:ligatures w14:val="none"/>
              </w:rPr>
              <w:t>rilevanti durante manutenzione</w:t>
            </w:r>
            <w:proofErr w:type="gramEnd"/>
            <w:r w:rsidRPr="0040502B">
              <w:rPr>
                <w:rFonts w:ascii="Times New Roman" w:eastAsia="Times New Roman" w:hAnsi="Times New Roman" w:cs="Times New Roman"/>
                <w:kern w:val="0"/>
                <w:sz w:val="24"/>
                <w:szCs w:val="24"/>
                <w:lang w:eastAsia="it-IT"/>
                <w14:ligatures w14:val="none"/>
              </w:rPr>
              <w:t>, apertura di schermi, sostituzione di lampade, accesso ravvicinato, prova senza diffusori o rimozione di protezioni. La valutazione deve quindi includere anche attività non routinarie ma prevedibili.</w:t>
            </w:r>
          </w:p>
        </w:tc>
        <w:tc>
          <w:tcPr>
            <w:tcW w:w="0" w:type="auto"/>
            <w:hideMark/>
          </w:tcPr>
          <w:p w14:paraId="0FFD175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procedure di manutenzione devono prevedere spegnimento, isolamento, distanze, DPI o divieti di accesso se la sorgente è potenzialmente pericolosa.</w:t>
            </w:r>
          </w:p>
        </w:tc>
      </w:tr>
      <w:tr w:rsidR="0040502B" w:rsidRPr="0040502B" w14:paraId="08CB791E" w14:textId="77777777" w:rsidTr="0040502B">
        <w:tc>
          <w:tcPr>
            <w:tcW w:w="0" w:type="auto"/>
            <w:hideMark/>
          </w:tcPr>
          <w:p w14:paraId="3ABE2B1D"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31</w:t>
            </w:r>
          </w:p>
        </w:tc>
        <w:tc>
          <w:tcPr>
            <w:tcW w:w="0" w:type="auto"/>
            <w:hideMark/>
          </w:tcPr>
          <w:p w14:paraId="2C88DD5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C.9</w:t>
            </w:r>
          </w:p>
        </w:tc>
        <w:tc>
          <w:tcPr>
            <w:tcW w:w="0" w:type="auto"/>
            <w:hideMark/>
          </w:tcPr>
          <w:p w14:paraId="19A10CD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gestire la valutazione del rischio per i soggetti particolarmente sensibili?</w:t>
            </w:r>
          </w:p>
        </w:tc>
        <w:tc>
          <w:tcPr>
            <w:tcW w:w="0" w:type="auto"/>
            <w:hideMark/>
          </w:tcPr>
          <w:p w14:paraId="5276FFC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valutazione deve considerare la presenza di lavoratori con condizioni individuali di maggiore suscettibilità, senza violare la riservatezza sanitaria. Il Medico Competente valuta idoneità, limitazioni e misure individuali. Dal punto di vista tecnico, il datore di lavoro deve prevedere misure che riducano l’esposizione e proteggano i soggetti vulnerabili.</w:t>
            </w:r>
          </w:p>
        </w:tc>
        <w:tc>
          <w:tcPr>
            <w:tcW w:w="0" w:type="auto"/>
            <w:hideMark/>
          </w:tcPr>
          <w:p w14:paraId="3A3E72E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Può comportare prescrizioni individuali, adattamento mansione, DPI specifici o esclusione da attività con sorgenti critiche.</w:t>
            </w:r>
          </w:p>
        </w:tc>
      </w:tr>
      <w:tr w:rsidR="0040502B" w:rsidRPr="0040502B" w14:paraId="58AC3577" w14:textId="77777777" w:rsidTr="0040502B">
        <w:tc>
          <w:tcPr>
            <w:tcW w:w="0" w:type="auto"/>
            <w:hideMark/>
          </w:tcPr>
          <w:p w14:paraId="00F21BEA"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32</w:t>
            </w:r>
          </w:p>
        </w:tc>
        <w:tc>
          <w:tcPr>
            <w:tcW w:w="0" w:type="auto"/>
            <w:hideMark/>
          </w:tcPr>
          <w:p w14:paraId="6325935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C.10</w:t>
            </w:r>
          </w:p>
        </w:tc>
        <w:tc>
          <w:tcPr>
            <w:tcW w:w="0" w:type="auto"/>
            <w:hideMark/>
          </w:tcPr>
          <w:p w14:paraId="33920DF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 xml:space="preserve">Come interpretare i valori limite presenti nelle tabelle dell’Allegato XXXVII del </w:t>
            </w:r>
            <w:proofErr w:type="spellStart"/>
            <w:r w:rsidRPr="0040502B">
              <w:rPr>
                <w:rFonts w:ascii="Times New Roman" w:eastAsia="Times New Roman" w:hAnsi="Times New Roman" w:cs="Times New Roman"/>
                <w:kern w:val="0"/>
                <w:sz w:val="24"/>
                <w:szCs w:val="24"/>
                <w:lang w:eastAsia="it-IT"/>
                <w14:ligatures w14:val="none"/>
              </w:rPr>
              <w:t>D.Lgs.</w:t>
            </w:r>
            <w:proofErr w:type="spellEnd"/>
            <w:r w:rsidRPr="0040502B">
              <w:rPr>
                <w:rFonts w:ascii="Times New Roman" w:eastAsia="Times New Roman" w:hAnsi="Times New Roman" w:cs="Times New Roman"/>
                <w:kern w:val="0"/>
                <w:sz w:val="24"/>
                <w:szCs w:val="24"/>
                <w:lang w:eastAsia="it-IT"/>
                <w14:ligatures w14:val="none"/>
              </w:rPr>
              <w:t xml:space="preserve"> 81/08?</w:t>
            </w:r>
          </w:p>
        </w:tc>
        <w:tc>
          <w:tcPr>
            <w:tcW w:w="0" w:type="auto"/>
            <w:hideMark/>
          </w:tcPr>
          <w:p w14:paraId="052F1CE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valori limite devono essere applicati in funzione della banda spettrale, del tipo di sorgente, dell’organo bersaglio, della durata dell’esposizione e dell’effetto biologico considerato. È fondamentale individuare correttamente la grandezza fisica da confrontare e l’eventuale ponderazione spettrale.</w:t>
            </w:r>
          </w:p>
        </w:tc>
        <w:tc>
          <w:tcPr>
            <w:tcW w:w="0" w:type="auto"/>
            <w:hideMark/>
          </w:tcPr>
          <w:p w14:paraId="7B7528D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Un confronto errato con il valore limite sbagliato rende inattendibile la valutazione.</w:t>
            </w:r>
          </w:p>
        </w:tc>
      </w:tr>
      <w:tr w:rsidR="0040502B" w:rsidRPr="0040502B" w14:paraId="3996A791" w14:textId="77777777" w:rsidTr="0040502B">
        <w:tc>
          <w:tcPr>
            <w:tcW w:w="0" w:type="auto"/>
            <w:hideMark/>
          </w:tcPr>
          <w:p w14:paraId="618BF829"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33</w:t>
            </w:r>
          </w:p>
        </w:tc>
        <w:tc>
          <w:tcPr>
            <w:tcW w:w="0" w:type="auto"/>
            <w:hideMark/>
          </w:tcPr>
          <w:p w14:paraId="51BC263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C.11</w:t>
            </w:r>
          </w:p>
        </w:tc>
        <w:tc>
          <w:tcPr>
            <w:tcW w:w="0" w:type="auto"/>
            <w:hideMark/>
          </w:tcPr>
          <w:p w14:paraId="3A14013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sono classificate le sorgenti di radiazioni ottiche non coerenti secondo CEN EN 62471?</w:t>
            </w:r>
          </w:p>
        </w:tc>
        <w:tc>
          <w:tcPr>
            <w:tcW w:w="0" w:type="auto"/>
            <w:hideMark/>
          </w:tcPr>
          <w:p w14:paraId="2C7ED1D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sorgenti non coerenti possono essere classificate in gruppi di rischio fotobiologico. La classificazione tiene conto della possibilità che la sorgente generi effetti dannosi su occhi o cute entro determinati tempi o condizioni di esposizione. Tale classificazione aiuta a stabilire se servono misure, limitazioni, avvertenze o valutazioni più dettagliate.</w:t>
            </w:r>
          </w:p>
        </w:tc>
        <w:tc>
          <w:tcPr>
            <w:tcW w:w="0" w:type="auto"/>
            <w:hideMark/>
          </w:tcPr>
          <w:p w14:paraId="1845673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gruppo di rischio orienta la valutazione, ma va sempre collegato all’uso reale della sorgente.</w:t>
            </w:r>
          </w:p>
        </w:tc>
      </w:tr>
      <w:tr w:rsidR="0040502B" w:rsidRPr="0040502B" w14:paraId="02820A39" w14:textId="77777777" w:rsidTr="0040502B">
        <w:tc>
          <w:tcPr>
            <w:tcW w:w="0" w:type="auto"/>
            <w:hideMark/>
          </w:tcPr>
          <w:p w14:paraId="63A72AAF"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34</w:t>
            </w:r>
          </w:p>
        </w:tc>
        <w:tc>
          <w:tcPr>
            <w:tcW w:w="0" w:type="auto"/>
            <w:hideMark/>
          </w:tcPr>
          <w:p w14:paraId="1F1D609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C.12</w:t>
            </w:r>
          </w:p>
        </w:tc>
        <w:tc>
          <w:tcPr>
            <w:tcW w:w="0" w:type="auto"/>
            <w:hideMark/>
          </w:tcPr>
          <w:p w14:paraId="450EE1E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si valuta il rischio ROA in saldatura?</w:t>
            </w:r>
          </w:p>
        </w:tc>
        <w:tc>
          <w:tcPr>
            <w:tcW w:w="0" w:type="auto"/>
            <w:hideMark/>
          </w:tcPr>
          <w:p w14:paraId="66FD80C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saldatura, soprattutto ad arco, è una sorgente importante di UV, visibile e IR. La valutazione deve considerare processo, corrente, durata, materiali, distanza, posizione dell’operatore, riflessioni, lavoratori vicini e schermature. Sono essenziali maschere adeguate, indumenti protettivi, schermi, tende, delimitazione dell’area e informazione dei lavoratori esposti indirettamente.</w:t>
            </w:r>
          </w:p>
        </w:tc>
        <w:tc>
          <w:tcPr>
            <w:tcW w:w="0" w:type="auto"/>
            <w:hideMark/>
          </w:tcPr>
          <w:p w14:paraId="264364E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saldatura richiede sempre attenzione specifica, anche per gli addetti vicini che non stanno saldando direttamente.</w:t>
            </w:r>
          </w:p>
        </w:tc>
      </w:tr>
      <w:tr w:rsidR="0040502B" w:rsidRPr="0040502B" w14:paraId="3A15EDA1" w14:textId="77777777" w:rsidTr="0040502B">
        <w:tc>
          <w:tcPr>
            <w:tcW w:w="0" w:type="auto"/>
            <w:hideMark/>
          </w:tcPr>
          <w:p w14:paraId="51CED132"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35</w:t>
            </w:r>
          </w:p>
        </w:tc>
        <w:tc>
          <w:tcPr>
            <w:tcW w:w="0" w:type="auto"/>
            <w:hideMark/>
          </w:tcPr>
          <w:p w14:paraId="063C569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C.13</w:t>
            </w:r>
          </w:p>
        </w:tc>
        <w:tc>
          <w:tcPr>
            <w:tcW w:w="0" w:type="auto"/>
            <w:hideMark/>
          </w:tcPr>
          <w:p w14:paraId="53D3A1A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valutare il rischio per sorgenti ROA non elettriche classificate secondo UNI EN 16237?</w:t>
            </w:r>
          </w:p>
        </w:tc>
        <w:tc>
          <w:tcPr>
            <w:tcW w:w="0" w:type="auto"/>
            <w:hideMark/>
          </w:tcPr>
          <w:p w14:paraId="78ED244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sorgenti non elettriche, come fiamme, metalli fusi, vetro caldo, bruciatori o materiali incandescenti, devono essere valutate considerando emissione ottica, temperatura, dimensione apparente, distanza, durata e presenza di barriere. La classificazione o le informazioni tecniche aiutano a definire il livello di rischio.</w:t>
            </w:r>
          </w:p>
        </w:tc>
        <w:tc>
          <w:tcPr>
            <w:tcW w:w="0" w:type="auto"/>
            <w:hideMark/>
          </w:tcPr>
          <w:p w14:paraId="3C94F8B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Processi termici e materiali incandescenti devono essere trattati come sorgenti ROA, non solo come rischio calore.</w:t>
            </w:r>
          </w:p>
        </w:tc>
      </w:tr>
      <w:tr w:rsidR="0040502B" w:rsidRPr="0040502B" w14:paraId="46A24627" w14:textId="77777777" w:rsidTr="0040502B">
        <w:tc>
          <w:tcPr>
            <w:tcW w:w="0" w:type="auto"/>
            <w:hideMark/>
          </w:tcPr>
          <w:p w14:paraId="764A03F7"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36</w:t>
            </w:r>
          </w:p>
        </w:tc>
        <w:tc>
          <w:tcPr>
            <w:tcW w:w="0" w:type="auto"/>
            <w:hideMark/>
          </w:tcPr>
          <w:p w14:paraId="108709B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C.14</w:t>
            </w:r>
          </w:p>
        </w:tc>
        <w:tc>
          <w:tcPr>
            <w:tcW w:w="0" w:type="auto"/>
            <w:hideMark/>
          </w:tcPr>
          <w:p w14:paraId="278BF25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criteri per valutare IR da corpi caldi/incandescenti e per scegliere DPI?</w:t>
            </w:r>
          </w:p>
        </w:tc>
        <w:tc>
          <w:tcPr>
            <w:tcW w:w="0" w:type="auto"/>
            <w:hideMark/>
          </w:tcPr>
          <w:p w14:paraId="3EDBE28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Per l’infrarosso da corpi caldi o incandescenti occorre valutare intensità della radiazione, temperatura, tempo di esposizione, distanza, estensione della sorgente e organo bersaglio. I DPI devono proteggere occhi e cute dalla radiazione termica e devono essere compatibili con calore, proiezioni, comfort e mansione.</w:t>
            </w:r>
          </w:p>
        </w:tc>
        <w:tc>
          <w:tcPr>
            <w:tcW w:w="0" w:type="auto"/>
            <w:hideMark/>
          </w:tcPr>
          <w:p w14:paraId="148ED58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scelta dei DPI non può essere generica: deve basarsi su banda IR, livello di esposizione e condizioni operative.</w:t>
            </w:r>
          </w:p>
        </w:tc>
      </w:tr>
      <w:tr w:rsidR="0040502B" w:rsidRPr="0040502B" w14:paraId="254008EE" w14:textId="77777777" w:rsidTr="0040502B">
        <w:tc>
          <w:tcPr>
            <w:tcW w:w="0" w:type="auto"/>
            <w:hideMark/>
          </w:tcPr>
          <w:p w14:paraId="5A6A2327"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37</w:t>
            </w:r>
          </w:p>
        </w:tc>
        <w:tc>
          <w:tcPr>
            <w:tcW w:w="0" w:type="auto"/>
            <w:hideMark/>
          </w:tcPr>
          <w:p w14:paraId="34D378F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C.15</w:t>
            </w:r>
          </w:p>
        </w:tc>
        <w:tc>
          <w:tcPr>
            <w:tcW w:w="0" w:type="auto"/>
            <w:hideMark/>
          </w:tcPr>
          <w:p w14:paraId="2FD487D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criteri per valutare possibili disturbi da luce blu emessa da LED, monitor, tablet, smartphone e sistemi di illuminazione?</w:t>
            </w:r>
          </w:p>
        </w:tc>
        <w:tc>
          <w:tcPr>
            <w:tcW w:w="0" w:type="auto"/>
            <w:hideMark/>
          </w:tcPr>
          <w:p w14:paraId="076C942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dispositivi ordinari come monitor, tablet e smartphone normalmente comportano più spesso problemi di comfort visivo che rischio fotobiologico significativo. Tuttavia, LED ad alta intensità, esposizioni ravvicinate, sorgenti professionali, illuminazione scenica o industriale e lavoratori sensibili possono richiedere valutazione. Occorre distinguere tra affaticamento visivo, abbagliamento e rischio da luce blu.</w:t>
            </w:r>
          </w:p>
        </w:tc>
        <w:tc>
          <w:tcPr>
            <w:tcW w:w="0" w:type="auto"/>
            <w:hideMark/>
          </w:tcPr>
          <w:p w14:paraId="6B7C93D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valutazione deve evitare allarmismi sui dispositivi ordinari, ma non trascurare LED professionali o sorgenti intense.</w:t>
            </w:r>
          </w:p>
        </w:tc>
      </w:tr>
      <w:tr w:rsidR="0040502B" w:rsidRPr="0040502B" w14:paraId="18EF50F8" w14:textId="77777777" w:rsidTr="0040502B">
        <w:tc>
          <w:tcPr>
            <w:tcW w:w="0" w:type="auto"/>
            <w:hideMark/>
          </w:tcPr>
          <w:p w14:paraId="24A34EEE"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38</w:t>
            </w:r>
          </w:p>
        </w:tc>
        <w:tc>
          <w:tcPr>
            <w:tcW w:w="0" w:type="auto"/>
            <w:hideMark/>
          </w:tcPr>
          <w:p w14:paraId="2817CA5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D.1.1</w:t>
            </w:r>
          </w:p>
        </w:tc>
        <w:tc>
          <w:tcPr>
            <w:tcW w:w="0" w:type="auto"/>
            <w:hideMark/>
          </w:tcPr>
          <w:p w14:paraId="33BA493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Cosa si intende per personale qualificato per la sicurezza da radiazioni ottiche non coerenti?</w:t>
            </w:r>
          </w:p>
        </w:tc>
        <w:tc>
          <w:tcPr>
            <w:tcW w:w="0" w:type="auto"/>
            <w:hideMark/>
          </w:tcPr>
          <w:p w14:paraId="0C96B1A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personale qualificato deve possedere competenze su ROA, effetti biologici, valori limite, metodi di misura, strumentazione, norme tecniche, interpretazione dei risultati e misure di prevenzione. Deve saper valutare sorgenti non coerenti come UV, IR, luce blu, saldatura, lampade industriali e sorgenti termiche.</w:t>
            </w:r>
          </w:p>
        </w:tc>
        <w:tc>
          <w:tcPr>
            <w:tcW w:w="0" w:type="auto"/>
            <w:hideMark/>
          </w:tcPr>
          <w:p w14:paraId="0C28EBE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datore di lavoro deve affidare valutazioni complesse a soggetti competenti, non a personale privo di preparazione specifica.</w:t>
            </w:r>
          </w:p>
        </w:tc>
      </w:tr>
      <w:tr w:rsidR="0040502B" w:rsidRPr="0040502B" w14:paraId="7DA1DD1B" w14:textId="77777777" w:rsidTr="0040502B">
        <w:tc>
          <w:tcPr>
            <w:tcW w:w="0" w:type="auto"/>
            <w:hideMark/>
          </w:tcPr>
          <w:p w14:paraId="3001EF38"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39</w:t>
            </w:r>
          </w:p>
        </w:tc>
        <w:tc>
          <w:tcPr>
            <w:tcW w:w="0" w:type="auto"/>
            <w:hideMark/>
          </w:tcPr>
          <w:p w14:paraId="554308D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D.1.2</w:t>
            </w:r>
          </w:p>
        </w:tc>
        <w:tc>
          <w:tcPr>
            <w:tcW w:w="0" w:type="auto"/>
            <w:hideMark/>
          </w:tcPr>
          <w:p w14:paraId="07B7F81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caratteristiche deve avere il personale adeguatamente qualificato che effettua la valutazione del rischio laser?</w:t>
            </w:r>
          </w:p>
        </w:tc>
        <w:tc>
          <w:tcPr>
            <w:tcW w:w="0" w:type="auto"/>
            <w:hideMark/>
          </w:tcPr>
          <w:p w14:paraId="37B5D3E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valutatore del rischio laser deve conoscere classificazione dei laser, propagazione del fascio, lunghezze d’onda, potenza, energia, riflessioni, DNRO, EMP, DPI laser, interblocchi, barriere e norme tecniche applicabili. Deve essere in grado di definire aree controllate e procedure di sicurezza.</w:t>
            </w:r>
          </w:p>
        </w:tc>
        <w:tc>
          <w:tcPr>
            <w:tcW w:w="0" w:type="auto"/>
            <w:hideMark/>
          </w:tcPr>
          <w:p w14:paraId="558F830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Per laser di classe elevata o impieghi complessi serve competenza specialistica laser, non solo competenza generale in sicurezza.</w:t>
            </w:r>
          </w:p>
        </w:tc>
      </w:tr>
      <w:tr w:rsidR="0040502B" w:rsidRPr="0040502B" w14:paraId="54736FF3" w14:textId="77777777" w:rsidTr="0040502B">
        <w:tc>
          <w:tcPr>
            <w:tcW w:w="0" w:type="auto"/>
            <w:hideMark/>
          </w:tcPr>
          <w:p w14:paraId="45AC5EE7"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40</w:t>
            </w:r>
          </w:p>
        </w:tc>
        <w:tc>
          <w:tcPr>
            <w:tcW w:w="0" w:type="auto"/>
            <w:hideMark/>
          </w:tcPr>
          <w:p w14:paraId="00C194C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D.1.3</w:t>
            </w:r>
          </w:p>
        </w:tc>
        <w:tc>
          <w:tcPr>
            <w:tcW w:w="0" w:type="auto"/>
            <w:hideMark/>
          </w:tcPr>
          <w:p w14:paraId="1D74FCA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Quando avvalersi dell’Addetto Sicurezza Laser o del Tecnico Sicurezza Laser e quali sono i loro compiti?</w:t>
            </w:r>
          </w:p>
        </w:tc>
        <w:tc>
          <w:tcPr>
            <w:tcW w:w="0" w:type="auto"/>
            <w:hideMark/>
          </w:tcPr>
          <w:p w14:paraId="2C0E015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L’Addetto o Tecnico Sicurezza Laser è previsto o raccomandato quando l’impiego del laser comporta rischio significativo, in particolare per laser di classe 3B o 4. Le attività includono supporto alla valutazione, definizione procedure, scelta DPI, delimitazione aree, formazione, verifica delle condizioni operative e gestione delle modifiche.</w:t>
            </w:r>
          </w:p>
        </w:tc>
        <w:tc>
          <w:tcPr>
            <w:tcW w:w="0" w:type="auto"/>
            <w:hideMark/>
          </w:tcPr>
          <w:p w14:paraId="3055538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L’organizzazione deve individuare una figura tecnica di riferimento per la sicurezza laser quando il rischio lo richiede.</w:t>
            </w:r>
          </w:p>
        </w:tc>
      </w:tr>
      <w:tr w:rsidR="0040502B" w:rsidRPr="0040502B" w14:paraId="2C8030AF" w14:textId="77777777" w:rsidTr="0040502B">
        <w:tc>
          <w:tcPr>
            <w:tcW w:w="0" w:type="auto"/>
            <w:hideMark/>
          </w:tcPr>
          <w:p w14:paraId="6B9A9B0C"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41</w:t>
            </w:r>
          </w:p>
        </w:tc>
        <w:tc>
          <w:tcPr>
            <w:tcW w:w="0" w:type="auto"/>
            <w:hideMark/>
          </w:tcPr>
          <w:p w14:paraId="253B14B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D.1.4</w:t>
            </w:r>
          </w:p>
        </w:tc>
        <w:tc>
          <w:tcPr>
            <w:tcW w:w="0" w:type="auto"/>
            <w:hideMark/>
          </w:tcPr>
          <w:p w14:paraId="6697A0C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caso di laser in classe 3B o 4, la presenza di Addetto o Tecnico Sicurezza Laser è prevista anche in una piccola azienda?</w:t>
            </w:r>
          </w:p>
        </w:tc>
        <w:tc>
          <w:tcPr>
            <w:tcW w:w="0" w:type="auto"/>
            <w:hideMark/>
          </w:tcPr>
          <w:p w14:paraId="61FEDCE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Sì. La necessità di una figura competente dipende dalla pericolosità del laser e dalle modalità d’uso, non dalla dimensione aziendale. Anche una piccola impresa deve garantire adeguate competenze se utilizza laser di classe 3B o 4 o se vi sono fasci accessibili pericolosi.</w:t>
            </w:r>
          </w:p>
        </w:tc>
        <w:tc>
          <w:tcPr>
            <w:tcW w:w="0" w:type="auto"/>
            <w:hideMark/>
          </w:tcPr>
          <w:p w14:paraId="096CC2F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piccole aziende non sono esonerate dagli obblighi tecnici quando utilizzano laser ad alto rischio.</w:t>
            </w:r>
          </w:p>
        </w:tc>
      </w:tr>
      <w:tr w:rsidR="0040502B" w:rsidRPr="0040502B" w14:paraId="1B4AA558" w14:textId="77777777" w:rsidTr="0040502B">
        <w:tc>
          <w:tcPr>
            <w:tcW w:w="0" w:type="auto"/>
            <w:hideMark/>
          </w:tcPr>
          <w:p w14:paraId="4CD870D5"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42</w:t>
            </w:r>
          </w:p>
        </w:tc>
        <w:tc>
          <w:tcPr>
            <w:tcW w:w="0" w:type="auto"/>
            <w:hideMark/>
          </w:tcPr>
          <w:p w14:paraId="266D6B4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D.2</w:t>
            </w:r>
          </w:p>
        </w:tc>
        <w:tc>
          <w:tcPr>
            <w:tcW w:w="0" w:type="auto"/>
            <w:hideMark/>
          </w:tcPr>
          <w:p w14:paraId="4EB8683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deve essere strutturata la relazione tecnica di supporto al DVR ROA?</w:t>
            </w:r>
          </w:p>
        </w:tc>
        <w:tc>
          <w:tcPr>
            <w:tcW w:w="0" w:type="auto"/>
            <w:hideMark/>
          </w:tcPr>
          <w:p w14:paraId="1382EA6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relazione tecnica deve descrivere sorgenti, reparti, mansioni, lavoratori esposti, modalità d’uso, tempi di esposizione, dati tecnici, criteri di valutazione, eventuali misure, calcoli, incertezza, confronto con i VLE, misure di prevenzione, DPI, segnaletica, formazione, sorveglianza sanitaria e programma di miglioramento.</w:t>
            </w:r>
          </w:p>
        </w:tc>
        <w:tc>
          <w:tcPr>
            <w:tcW w:w="0" w:type="auto"/>
            <w:hideMark/>
          </w:tcPr>
          <w:p w14:paraId="20669AB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relazione deve essere completa e utilizzabile come allegato tecnico del DVR, non un semplice riepilogo generico.</w:t>
            </w:r>
          </w:p>
        </w:tc>
      </w:tr>
      <w:tr w:rsidR="0040502B" w:rsidRPr="0040502B" w14:paraId="37A5B2E1" w14:textId="77777777" w:rsidTr="0040502B">
        <w:tc>
          <w:tcPr>
            <w:tcW w:w="0" w:type="auto"/>
            <w:hideMark/>
          </w:tcPr>
          <w:p w14:paraId="19B5D74B"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43</w:t>
            </w:r>
          </w:p>
        </w:tc>
        <w:tc>
          <w:tcPr>
            <w:tcW w:w="0" w:type="auto"/>
            <w:hideMark/>
          </w:tcPr>
          <w:p w14:paraId="7011262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D.3</w:t>
            </w:r>
          </w:p>
        </w:tc>
        <w:tc>
          <w:tcPr>
            <w:tcW w:w="0" w:type="auto"/>
            <w:hideMark/>
          </w:tcPr>
          <w:p w14:paraId="5CF23C3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quali casi è necessario effettuare specifica informazione/formazione?</w:t>
            </w:r>
          </w:p>
        </w:tc>
        <w:tc>
          <w:tcPr>
            <w:tcW w:w="0" w:type="auto"/>
            <w:hideMark/>
          </w:tcPr>
          <w:p w14:paraId="53FD599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Informazione e formazione specifica sono necessarie quando i lavoratori sono esposti a sorgenti ROA non trascurabili, quando utilizzano laser, UV, IR, saldatura, lampade germicide, sorgenti intense o quando devono applicare procedure e DPI specifici. Devono essere coinvolti anche lavoratori esposti indirettamente o presenti in aree interferenti.</w:t>
            </w:r>
          </w:p>
        </w:tc>
        <w:tc>
          <w:tcPr>
            <w:tcW w:w="0" w:type="auto"/>
            <w:hideMark/>
          </w:tcPr>
          <w:p w14:paraId="396375A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formazione è obbligatoria quando il rischio richiede comportamenti sicuri, uso DPI, rispetto di distanze e procedure.</w:t>
            </w:r>
          </w:p>
        </w:tc>
      </w:tr>
      <w:tr w:rsidR="0040502B" w:rsidRPr="0040502B" w14:paraId="6010A5E2" w14:textId="77777777" w:rsidTr="0040502B">
        <w:tc>
          <w:tcPr>
            <w:tcW w:w="0" w:type="auto"/>
            <w:hideMark/>
          </w:tcPr>
          <w:p w14:paraId="6ACC3D73"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44</w:t>
            </w:r>
          </w:p>
        </w:tc>
        <w:tc>
          <w:tcPr>
            <w:tcW w:w="0" w:type="auto"/>
            <w:hideMark/>
          </w:tcPr>
          <w:p w14:paraId="385E4B3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D.4</w:t>
            </w:r>
          </w:p>
        </w:tc>
        <w:tc>
          <w:tcPr>
            <w:tcW w:w="0" w:type="auto"/>
            <w:hideMark/>
          </w:tcPr>
          <w:p w14:paraId="1477EF6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sono i contenuti dell’informazione/formazione?</w:t>
            </w:r>
          </w:p>
        </w:tc>
        <w:tc>
          <w:tcPr>
            <w:tcW w:w="0" w:type="auto"/>
            <w:hideMark/>
          </w:tcPr>
          <w:p w14:paraId="5828BA6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formazione deve trattare sorgenti presenti, rischi per occhi e cute, effetti diretti e indiretti, valori limite, segnaletica, aree controllate, procedure di lavoro, divieti, DPI, manutenzione sicura, emergenze, incidenti, sintomi da esposizione e ruolo dei soggetti aziendali. Deve essere comprensibile e riferita alle mansioni effettive.</w:t>
            </w:r>
          </w:p>
        </w:tc>
        <w:tc>
          <w:tcPr>
            <w:tcW w:w="0" w:type="auto"/>
            <w:hideMark/>
          </w:tcPr>
          <w:p w14:paraId="2D84F0A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formazione deve essere pratica e mansione-specifica, non limitata a nozioni generiche sulle radiazioni.</w:t>
            </w:r>
          </w:p>
        </w:tc>
      </w:tr>
      <w:tr w:rsidR="0040502B" w:rsidRPr="0040502B" w14:paraId="74B1C98D" w14:textId="77777777" w:rsidTr="0040502B">
        <w:tc>
          <w:tcPr>
            <w:tcW w:w="0" w:type="auto"/>
            <w:hideMark/>
          </w:tcPr>
          <w:p w14:paraId="79B8B4ED"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45</w:t>
            </w:r>
          </w:p>
        </w:tc>
        <w:tc>
          <w:tcPr>
            <w:tcW w:w="0" w:type="auto"/>
            <w:hideMark/>
          </w:tcPr>
          <w:p w14:paraId="3E01E28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D.5</w:t>
            </w:r>
          </w:p>
        </w:tc>
        <w:tc>
          <w:tcPr>
            <w:tcW w:w="0" w:type="auto"/>
            <w:hideMark/>
          </w:tcPr>
          <w:p w14:paraId="695C4DC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misure tecniche e organizzative adottare all’esito della valutazione?</w:t>
            </w:r>
          </w:p>
        </w:tc>
        <w:tc>
          <w:tcPr>
            <w:tcW w:w="0" w:type="auto"/>
            <w:hideMark/>
          </w:tcPr>
          <w:p w14:paraId="151FB07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misure includono eliminazione o sostituzione della sorgente, riduzione dell’emissione, schermature, interblocchi, barriere, distanze di sicurezza, riduzione dei tempi, automazione, procedure, manutenzione, segnaletica, delimitazione aree, DPI, formazione e sorveglianza sanitaria. La priorità va data alle misure collettive e tecniche rispetto ai soli DPI.</w:t>
            </w:r>
          </w:p>
        </w:tc>
        <w:tc>
          <w:tcPr>
            <w:tcW w:w="0" w:type="auto"/>
            <w:hideMark/>
          </w:tcPr>
          <w:p w14:paraId="7BC2A14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DVR deve tradurre la valutazione in azioni concrete di prevenzione e protezione.</w:t>
            </w:r>
          </w:p>
        </w:tc>
      </w:tr>
      <w:tr w:rsidR="0040502B" w:rsidRPr="0040502B" w14:paraId="178B5445" w14:textId="77777777" w:rsidTr="0040502B">
        <w:tc>
          <w:tcPr>
            <w:tcW w:w="0" w:type="auto"/>
            <w:hideMark/>
          </w:tcPr>
          <w:p w14:paraId="638E1F3B"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46</w:t>
            </w:r>
          </w:p>
        </w:tc>
        <w:tc>
          <w:tcPr>
            <w:tcW w:w="0" w:type="auto"/>
            <w:hideMark/>
          </w:tcPr>
          <w:p w14:paraId="5E5101C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D.6.1</w:t>
            </w:r>
          </w:p>
        </w:tc>
        <w:tc>
          <w:tcPr>
            <w:tcW w:w="0" w:type="auto"/>
            <w:hideMark/>
          </w:tcPr>
          <w:p w14:paraId="64BD5BD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criteri di scelta dei DPI per occhi e cute da radiazioni ottiche non coerenti?</w:t>
            </w:r>
          </w:p>
        </w:tc>
        <w:tc>
          <w:tcPr>
            <w:tcW w:w="0" w:type="auto"/>
            <w:hideMark/>
          </w:tcPr>
          <w:p w14:paraId="4F787A2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DPI devono essere scelti in base a lunghezza d’onda, intensità, durata, tipo di lavorazione, rischio per occhi e cute, compatibilità con altri rischi e comfort. Per saldatura, UV, IR, luce intensa o processi termici possono servire filtri oculari, visiere, schermi facciali, guanti, indumenti coprenti e materiali resistenti al calore.</w:t>
            </w:r>
          </w:p>
        </w:tc>
        <w:tc>
          <w:tcPr>
            <w:tcW w:w="0" w:type="auto"/>
            <w:hideMark/>
          </w:tcPr>
          <w:p w14:paraId="5BF3157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DPI non specifici o scelti solo “a catalogo” possono essere inadeguati; serve corrispondenza tra filtro/protezione e rischio reale.</w:t>
            </w:r>
          </w:p>
        </w:tc>
      </w:tr>
      <w:tr w:rsidR="0040502B" w:rsidRPr="0040502B" w14:paraId="076082A8" w14:textId="77777777" w:rsidTr="0040502B">
        <w:tc>
          <w:tcPr>
            <w:tcW w:w="0" w:type="auto"/>
            <w:hideMark/>
          </w:tcPr>
          <w:p w14:paraId="572C8CF8"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47</w:t>
            </w:r>
          </w:p>
        </w:tc>
        <w:tc>
          <w:tcPr>
            <w:tcW w:w="0" w:type="auto"/>
            <w:hideMark/>
          </w:tcPr>
          <w:p w14:paraId="6328DEE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D.6.2</w:t>
            </w:r>
          </w:p>
        </w:tc>
        <w:tc>
          <w:tcPr>
            <w:tcW w:w="0" w:type="auto"/>
            <w:hideMark/>
          </w:tcPr>
          <w:p w14:paraId="31FB674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criteri di scelta dei DPI per occhi e cute da radiazioni laser?</w:t>
            </w:r>
          </w:p>
        </w:tc>
        <w:tc>
          <w:tcPr>
            <w:tcW w:w="0" w:type="auto"/>
            <w:hideMark/>
          </w:tcPr>
          <w:p w14:paraId="14B7080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Gli occhiali e i DPI laser devono essere selezionati in base a lunghezza d’onda, potenza o energia, durata dell’esposizione, modalità continua o pulsata, densità ottica richiesta, visibilità necessaria e condizioni operative. Devono proteggere anche da riflessioni prevedibili e non devono introdurre rischi aggiuntivi.</w:t>
            </w:r>
          </w:p>
        </w:tc>
        <w:tc>
          <w:tcPr>
            <w:tcW w:w="0" w:type="auto"/>
            <w:hideMark/>
          </w:tcPr>
          <w:p w14:paraId="4CBCF06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Gli occhiali laser sono specifici per sorgente: un DPI non adeguato alla lunghezza d’onda o alla potenza non protegge correttamente.</w:t>
            </w:r>
          </w:p>
        </w:tc>
      </w:tr>
      <w:tr w:rsidR="0040502B" w:rsidRPr="0040502B" w14:paraId="7F1022C6" w14:textId="77777777" w:rsidTr="0040502B">
        <w:tc>
          <w:tcPr>
            <w:tcW w:w="0" w:type="auto"/>
            <w:hideMark/>
          </w:tcPr>
          <w:p w14:paraId="1C812094"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48</w:t>
            </w:r>
          </w:p>
        </w:tc>
        <w:tc>
          <w:tcPr>
            <w:tcW w:w="0" w:type="auto"/>
            <w:hideMark/>
          </w:tcPr>
          <w:p w14:paraId="20CB946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D.7.2</w:t>
            </w:r>
          </w:p>
        </w:tc>
        <w:tc>
          <w:tcPr>
            <w:tcW w:w="0" w:type="auto"/>
            <w:hideMark/>
          </w:tcPr>
          <w:p w14:paraId="3D09D81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quali casi e con quali modalità deve essere effettuata la delimitazione delle aree di lavoro con sorgenti laser?</w:t>
            </w:r>
          </w:p>
        </w:tc>
        <w:tc>
          <w:tcPr>
            <w:tcW w:w="0" w:type="auto"/>
            <w:hideMark/>
          </w:tcPr>
          <w:p w14:paraId="3DB3B09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aree devono essere delimitate quando esiste possibilità di esposizione superiore ai limiti o accesso a fasci pericolosi. La delimitazione può comprendere zona laser controllata, barriere, tende, segnaletica, accesso riservato, procedure di ingresso, dispositivi di interblocco e indicazioni sui DPI obbligatori.</w:t>
            </w:r>
          </w:p>
        </w:tc>
        <w:tc>
          <w:tcPr>
            <w:tcW w:w="0" w:type="auto"/>
            <w:hideMark/>
          </w:tcPr>
          <w:p w14:paraId="318965B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presenza di laser pericolosi impone controllo dell’accesso e gestione delle aree, soprattutto entro la DNRO.</w:t>
            </w:r>
          </w:p>
        </w:tc>
      </w:tr>
      <w:tr w:rsidR="0040502B" w:rsidRPr="0040502B" w14:paraId="4B36B786" w14:textId="77777777" w:rsidTr="0040502B">
        <w:tc>
          <w:tcPr>
            <w:tcW w:w="0" w:type="auto"/>
            <w:hideMark/>
          </w:tcPr>
          <w:p w14:paraId="29130B74"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49</w:t>
            </w:r>
          </w:p>
        </w:tc>
        <w:tc>
          <w:tcPr>
            <w:tcW w:w="0" w:type="auto"/>
            <w:hideMark/>
          </w:tcPr>
          <w:p w14:paraId="5AAB2EF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D.8</w:t>
            </w:r>
          </w:p>
        </w:tc>
        <w:tc>
          <w:tcPr>
            <w:tcW w:w="0" w:type="auto"/>
            <w:hideMark/>
          </w:tcPr>
          <w:p w14:paraId="7436958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criteri adottare nella scelta dei DPI in presenza di IR da corpi caldi non incandescenti?</w:t>
            </w:r>
          </w:p>
        </w:tc>
        <w:tc>
          <w:tcPr>
            <w:tcW w:w="0" w:type="auto"/>
            <w:hideMark/>
          </w:tcPr>
          <w:p w14:paraId="6D13FC7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DPI devono proteggere dalla radiazione infrarossa e dal calore radiante, considerando temperatura della sorgente, distanza, durata, zona del corpo esposta e compatibilità con lavoro fisico e microclima. Per gli occhi possono servire filtri specifici; per la cute indumenti e guanti idonei al calore radiante.</w:t>
            </w:r>
          </w:p>
        </w:tc>
        <w:tc>
          <w:tcPr>
            <w:tcW w:w="0" w:type="auto"/>
            <w:hideMark/>
          </w:tcPr>
          <w:p w14:paraId="32C85A2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presenza di IR termico, DPI oculari e cutanei devono essere scelti insieme alle misure contro calore e ustioni.</w:t>
            </w:r>
          </w:p>
        </w:tc>
      </w:tr>
      <w:tr w:rsidR="0040502B" w:rsidRPr="0040502B" w14:paraId="4DF268C0" w14:textId="77777777" w:rsidTr="0040502B">
        <w:tc>
          <w:tcPr>
            <w:tcW w:w="0" w:type="auto"/>
            <w:hideMark/>
          </w:tcPr>
          <w:p w14:paraId="0D2B5C1C"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50</w:t>
            </w:r>
          </w:p>
        </w:tc>
        <w:tc>
          <w:tcPr>
            <w:tcW w:w="0" w:type="auto"/>
            <w:hideMark/>
          </w:tcPr>
          <w:p w14:paraId="53795C23"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D.9</w:t>
            </w:r>
          </w:p>
        </w:tc>
        <w:tc>
          <w:tcPr>
            <w:tcW w:w="0" w:type="auto"/>
            <w:hideMark/>
          </w:tcPr>
          <w:p w14:paraId="71D08CDE"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criteri adottare per la gestione del rischio da lampade germicide UVC?</w:t>
            </w:r>
          </w:p>
        </w:tc>
        <w:tc>
          <w:tcPr>
            <w:tcW w:w="0" w:type="auto"/>
            <w:hideMark/>
          </w:tcPr>
          <w:p w14:paraId="68B91EE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lampade germicide UVC possono provocare gravi danni a occhi e cute anche per esposizioni brevi. Devono essere installate con confinamento, interblocchi, spegnimento automatico, divieti di accesso durante il funzionamento, segnaletica e procedure di manutenzione. È essenziale evitare l’esposizione diretta o riflessa dei lavoratori.</w:t>
            </w:r>
          </w:p>
        </w:tc>
        <w:tc>
          <w:tcPr>
            <w:tcW w:w="0" w:type="auto"/>
            <w:hideMark/>
          </w:tcPr>
          <w:p w14:paraId="20E3604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lampade UVC non devono essere usate in ambienti occupati se esiste esposizione diretta; servono procedure rigorose.</w:t>
            </w:r>
          </w:p>
        </w:tc>
      </w:tr>
      <w:tr w:rsidR="0040502B" w:rsidRPr="0040502B" w14:paraId="0FE11D99" w14:textId="77777777" w:rsidTr="0040502B">
        <w:tc>
          <w:tcPr>
            <w:tcW w:w="0" w:type="auto"/>
            <w:hideMark/>
          </w:tcPr>
          <w:p w14:paraId="67A97479"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51</w:t>
            </w:r>
          </w:p>
        </w:tc>
        <w:tc>
          <w:tcPr>
            <w:tcW w:w="0" w:type="auto"/>
            <w:hideMark/>
          </w:tcPr>
          <w:p w14:paraId="6AE6474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D.9.1</w:t>
            </w:r>
          </w:p>
        </w:tc>
        <w:tc>
          <w:tcPr>
            <w:tcW w:w="0" w:type="auto"/>
            <w:hideMark/>
          </w:tcPr>
          <w:p w14:paraId="1F4982A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criteri nella gestione del rischio per lampade germicide inserite nei condotti di impianti di ricambio aria?</w:t>
            </w:r>
          </w:p>
        </w:tc>
        <w:tc>
          <w:tcPr>
            <w:tcW w:w="0" w:type="auto"/>
            <w:hideMark/>
          </w:tcPr>
          <w:p w14:paraId="62251C8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Nei condotti aria le lampade UVC devono essere installate in modo che la radiazione resti confinata. Durante ispezione, pulizia, sostituzione o manutenzione devono essere previsti spegnimento, blocco dell’alimentazione, segnalazione, verifica dell’assenza di emissione e procedure di accesso sicuro.</w:t>
            </w:r>
          </w:p>
        </w:tc>
        <w:tc>
          <w:tcPr>
            <w:tcW w:w="0" w:type="auto"/>
            <w:hideMark/>
          </w:tcPr>
          <w:p w14:paraId="44C3355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rischio principale si manifesta durante manutenzione o apertura del condotto, non durante il funzionamento correttamente confinato.</w:t>
            </w:r>
          </w:p>
        </w:tc>
      </w:tr>
      <w:tr w:rsidR="0040502B" w:rsidRPr="0040502B" w14:paraId="2566308C" w14:textId="77777777" w:rsidTr="0040502B">
        <w:tc>
          <w:tcPr>
            <w:tcW w:w="0" w:type="auto"/>
            <w:hideMark/>
          </w:tcPr>
          <w:p w14:paraId="4A3940C3"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52</w:t>
            </w:r>
          </w:p>
        </w:tc>
        <w:tc>
          <w:tcPr>
            <w:tcW w:w="0" w:type="auto"/>
            <w:hideMark/>
          </w:tcPr>
          <w:p w14:paraId="11764BF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D.10</w:t>
            </w:r>
          </w:p>
        </w:tc>
        <w:tc>
          <w:tcPr>
            <w:tcW w:w="0" w:type="auto"/>
            <w:hideMark/>
          </w:tcPr>
          <w:p w14:paraId="024BFA8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criteri per la gestione in sicurezza dei laser ad uso scenico?</w:t>
            </w:r>
          </w:p>
        </w:tc>
        <w:tc>
          <w:tcPr>
            <w:tcW w:w="0" w:type="auto"/>
            <w:hideMark/>
          </w:tcPr>
          <w:p w14:paraId="37D6B35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laser scenici devono essere valutati considerando classe, potenza, traiettorie, pubblico, operatori, riflessioni, scansione, altezza dei fasci, condizioni di guasto e presenza di superfici riflettenti. È necessario evitare esposizioni pericolose a occhi del pubblico e degli addetti, definendo procedure, controllo dell’area e personale competente.</w:t>
            </w:r>
          </w:p>
        </w:tc>
        <w:tc>
          <w:tcPr>
            <w:tcW w:w="0" w:type="auto"/>
            <w:hideMark/>
          </w:tcPr>
          <w:p w14:paraId="42AA96C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Gli spettacoli con laser richiedono progettazione preventiva della sicurezza, non solo regolazione estetica dell’effetto luminoso.</w:t>
            </w:r>
          </w:p>
        </w:tc>
      </w:tr>
      <w:tr w:rsidR="0040502B" w:rsidRPr="0040502B" w14:paraId="21CB8325" w14:textId="77777777" w:rsidTr="0040502B">
        <w:tc>
          <w:tcPr>
            <w:tcW w:w="0" w:type="auto"/>
            <w:hideMark/>
          </w:tcPr>
          <w:p w14:paraId="5C613ACE"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53</w:t>
            </w:r>
          </w:p>
        </w:tc>
        <w:tc>
          <w:tcPr>
            <w:tcW w:w="0" w:type="auto"/>
            <w:hideMark/>
          </w:tcPr>
          <w:p w14:paraId="1919E9C6"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E.1</w:t>
            </w:r>
          </w:p>
        </w:tc>
        <w:tc>
          <w:tcPr>
            <w:tcW w:w="0" w:type="auto"/>
            <w:hideMark/>
          </w:tcPr>
          <w:p w14:paraId="122A0AD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quali casi sussiste l’obbligo di delimitazione delle aree ad accesso controllato in relazione all’emissione ROA?</w:t>
            </w:r>
          </w:p>
        </w:tc>
        <w:tc>
          <w:tcPr>
            <w:tcW w:w="0" w:type="auto"/>
            <w:hideMark/>
          </w:tcPr>
          <w:p w14:paraId="71EF1054"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L’area deve essere delimitata quando l’emissione ROA può determinare esposizioni superiori ai valori limite o comunque rischi non trascurabili per chi vi accede. La delimitazione deve essere proporzionata al rischio e può includere barriere, segnaletica, accesso controllato, procedure, interblocchi e DPI obbligatori.</w:t>
            </w:r>
          </w:p>
        </w:tc>
        <w:tc>
          <w:tcPr>
            <w:tcW w:w="0" w:type="auto"/>
            <w:hideMark/>
          </w:tcPr>
          <w:p w14:paraId="7B525D2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Le aree con rischio ROA significativo devono essere fisicamente e organizzativamente controllate.</w:t>
            </w:r>
          </w:p>
        </w:tc>
      </w:tr>
      <w:tr w:rsidR="0040502B" w:rsidRPr="0040502B" w14:paraId="7509EF7A" w14:textId="77777777" w:rsidTr="0040502B">
        <w:tc>
          <w:tcPr>
            <w:tcW w:w="0" w:type="auto"/>
            <w:hideMark/>
          </w:tcPr>
          <w:p w14:paraId="1772F949"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54</w:t>
            </w:r>
          </w:p>
        </w:tc>
        <w:tc>
          <w:tcPr>
            <w:tcW w:w="0" w:type="auto"/>
            <w:hideMark/>
          </w:tcPr>
          <w:p w14:paraId="30D22D0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E.2.1</w:t>
            </w:r>
          </w:p>
        </w:tc>
        <w:tc>
          <w:tcPr>
            <w:tcW w:w="0" w:type="auto"/>
            <w:hideMark/>
          </w:tcPr>
          <w:p w14:paraId="0A153DC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dati e informazioni devono fornire i fabbricanti per ROA non coerenti?</w:t>
            </w:r>
          </w:p>
        </w:tc>
        <w:tc>
          <w:tcPr>
            <w:tcW w:w="0" w:type="auto"/>
            <w:hideMark/>
          </w:tcPr>
          <w:p w14:paraId="6BEFE0E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 fabbricanti devono fornire informazioni utili alla valutazione del rischio: emissioni ottiche, classificazione fotobiologica, condizioni d’uso, distanze di sicurezza, protezioni integrate, rischi residui, istruzioni di manutenzione, avvertenze, eventuali DPI necessari e condizioni da evitare.</w:t>
            </w:r>
          </w:p>
        </w:tc>
        <w:tc>
          <w:tcPr>
            <w:tcW w:w="0" w:type="auto"/>
            <w:hideMark/>
          </w:tcPr>
          <w:p w14:paraId="6C9396B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fase di valutazione e acquisto occorre richiedere documentazione tecnica completa, non solo scheda commerciale.</w:t>
            </w:r>
          </w:p>
        </w:tc>
      </w:tr>
      <w:tr w:rsidR="0040502B" w:rsidRPr="0040502B" w14:paraId="1D9B4780" w14:textId="77777777" w:rsidTr="0040502B">
        <w:tc>
          <w:tcPr>
            <w:tcW w:w="0" w:type="auto"/>
            <w:hideMark/>
          </w:tcPr>
          <w:p w14:paraId="1935050C"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55</w:t>
            </w:r>
          </w:p>
        </w:tc>
        <w:tc>
          <w:tcPr>
            <w:tcW w:w="0" w:type="auto"/>
            <w:hideMark/>
          </w:tcPr>
          <w:p w14:paraId="220F5C3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E.2.2</w:t>
            </w:r>
          </w:p>
        </w:tc>
        <w:tc>
          <w:tcPr>
            <w:tcW w:w="0" w:type="auto"/>
            <w:hideMark/>
          </w:tcPr>
          <w:p w14:paraId="4251DFC2"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dati e informazioni devono fornire i fabbricanti per laser?</w:t>
            </w:r>
          </w:p>
        </w:tc>
        <w:tc>
          <w:tcPr>
            <w:tcW w:w="0" w:type="auto"/>
            <w:hideMark/>
          </w:tcPr>
          <w:p w14:paraId="5A01E247"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Per i laser devono essere disponibili classe, lunghezza d’onda, potenza o energia, durata degli impulsi, divergenza, aperture di emissione, emissione accessibile, dispositivi di sicurezza, interblocchi, avvertenze, procedure di manutenzione, rischi residui e DPI eventualmente necessari.</w:t>
            </w:r>
          </w:p>
        </w:tc>
        <w:tc>
          <w:tcPr>
            <w:tcW w:w="0" w:type="auto"/>
            <w:hideMark/>
          </w:tcPr>
          <w:p w14:paraId="15529E9A"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Senza dati laser completi è difficile valutare correttamente il rischio e scegliere DPI e misure di sicurezza.</w:t>
            </w:r>
          </w:p>
        </w:tc>
      </w:tr>
      <w:tr w:rsidR="0040502B" w:rsidRPr="0040502B" w14:paraId="1E336D8C" w14:textId="77777777" w:rsidTr="0040502B">
        <w:tc>
          <w:tcPr>
            <w:tcW w:w="0" w:type="auto"/>
            <w:hideMark/>
          </w:tcPr>
          <w:p w14:paraId="6912ACE6"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56</w:t>
            </w:r>
          </w:p>
        </w:tc>
        <w:tc>
          <w:tcPr>
            <w:tcW w:w="0" w:type="auto"/>
            <w:hideMark/>
          </w:tcPr>
          <w:p w14:paraId="0C7FE4A0"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E.3</w:t>
            </w:r>
          </w:p>
        </w:tc>
        <w:tc>
          <w:tcPr>
            <w:tcW w:w="0" w:type="auto"/>
            <w:hideMark/>
          </w:tcPr>
          <w:p w14:paraId="21728546"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Come gestire il rischio ROA nei cantieri, POS, PSC e DUVRI?</w:t>
            </w:r>
          </w:p>
        </w:tc>
        <w:tc>
          <w:tcPr>
            <w:tcW w:w="0" w:type="auto"/>
            <w:hideMark/>
          </w:tcPr>
          <w:p w14:paraId="416F9C48"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Nei cantieri e nelle attività interferenti il rischio ROA deve essere gestito considerando lavorazioni come saldatura, taglio, laser, lampade, sorgenti UV/IR e possibili esposizioni di lavoratori di altre imprese. POS, PSC e DUVRI devono prevedere coordinamento, aree interdette, schermature, procedure, segnaletica, DPI e informazione dei soggetti coinvolti.</w:t>
            </w:r>
          </w:p>
        </w:tc>
        <w:tc>
          <w:tcPr>
            <w:tcW w:w="0" w:type="auto"/>
            <w:hideMark/>
          </w:tcPr>
          <w:p w14:paraId="71CB456D"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Il rischio ROA deve essere coordinato tra imprese, soprattutto quando una lavorazione può esporre lavoratori terzi o interferenti.</w:t>
            </w:r>
          </w:p>
        </w:tc>
      </w:tr>
      <w:tr w:rsidR="0040502B" w:rsidRPr="0040502B" w14:paraId="22D7DCF7" w14:textId="77777777" w:rsidTr="0040502B">
        <w:tc>
          <w:tcPr>
            <w:tcW w:w="0" w:type="auto"/>
            <w:hideMark/>
          </w:tcPr>
          <w:p w14:paraId="35FE4C95"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57</w:t>
            </w:r>
          </w:p>
        </w:tc>
        <w:tc>
          <w:tcPr>
            <w:tcW w:w="0" w:type="auto"/>
            <w:hideMark/>
          </w:tcPr>
          <w:p w14:paraId="77CCB6D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E.4</w:t>
            </w:r>
          </w:p>
        </w:tc>
        <w:tc>
          <w:tcPr>
            <w:tcW w:w="0" w:type="auto"/>
            <w:hideMark/>
          </w:tcPr>
          <w:p w14:paraId="039001B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informazioni deve chiedere il datore di lavoro in fase di acquisto di macchinari/attrezzature che emettono ROA?</w:t>
            </w:r>
          </w:p>
        </w:tc>
        <w:tc>
          <w:tcPr>
            <w:tcW w:w="0" w:type="auto"/>
            <w:hideMark/>
          </w:tcPr>
          <w:p w14:paraId="469FBE8C"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In fase di acquisto occorre richiedere dati di emissione, classificazione, condizioni d’uso sicuro, protezioni integrate, rischi residui, manutenzione, accessibilità della sorgente, necessità di DPI, segnaletica e istruzioni operative. La scelta dell’attrezzatura deve privilegiare soluzioni con minore emissione e protezioni efficaci.</w:t>
            </w:r>
          </w:p>
        </w:tc>
        <w:tc>
          <w:tcPr>
            <w:tcW w:w="0" w:type="auto"/>
            <w:hideMark/>
          </w:tcPr>
          <w:p w14:paraId="795DE99B"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La prevenzione deve iniziare già in fase di acquisto, scegliendo macchine sicure e documentate.</w:t>
            </w:r>
          </w:p>
        </w:tc>
      </w:tr>
      <w:tr w:rsidR="0040502B" w:rsidRPr="0040502B" w14:paraId="6B3609B1" w14:textId="77777777" w:rsidTr="0040502B">
        <w:tc>
          <w:tcPr>
            <w:tcW w:w="0" w:type="auto"/>
            <w:hideMark/>
          </w:tcPr>
          <w:p w14:paraId="4E44BABC"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58</w:t>
            </w:r>
          </w:p>
        </w:tc>
        <w:tc>
          <w:tcPr>
            <w:tcW w:w="0" w:type="auto"/>
            <w:hideMark/>
          </w:tcPr>
          <w:p w14:paraId="3DBC9151"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E.5</w:t>
            </w:r>
          </w:p>
        </w:tc>
        <w:tc>
          <w:tcPr>
            <w:tcW w:w="0" w:type="auto"/>
            <w:hideMark/>
          </w:tcPr>
          <w:p w14:paraId="061FB42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Quali indicazioni nel caso in cui un laser presente in azienda sia privo di classificazione CEI EN IEC 60825-1?</w:t>
            </w:r>
          </w:p>
        </w:tc>
        <w:tc>
          <w:tcPr>
            <w:tcW w:w="0" w:type="auto"/>
            <w:hideMark/>
          </w:tcPr>
          <w:p w14:paraId="094F334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Se un laser è privo di classificazione, occorre reperire informazioni dal fabbricante o far effettuare una classificazione/valutazione da personale qualificato. In assenza di dati attendibili è necessario adottare un approccio cautelativo, limitare l’uso e impedire esposizioni non controllate fino alla definizione delle misure di sicurezza.</w:t>
            </w:r>
          </w:p>
        </w:tc>
        <w:tc>
          <w:tcPr>
            <w:tcW w:w="0" w:type="auto"/>
            <w:hideMark/>
          </w:tcPr>
          <w:p w14:paraId="3E7009D5"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Un laser non classificato non deve essere considerato sicuro: va identificato, valutato e gestito in modo cautelativo.</w:t>
            </w:r>
          </w:p>
        </w:tc>
      </w:tr>
      <w:tr w:rsidR="0040502B" w:rsidRPr="0040502B" w14:paraId="248F1E01" w14:textId="77777777" w:rsidTr="0040502B">
        <w:tc>
          <w:tcPr>
            <w:tcW w:w="0" w:type="auto"/>
            <w:hideMark/>
          </w:tcPr>
          <w:p w14:paraId="131EB8ED" w14:textId="77777777" w:rsidR="0040502B" w:rsidRPr="0040502B" w:rsidRDefault="0040502B" w:rsidP="0040502B">
            <w:pPr>
              <w:jc w:val="right"/>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59</w:t>
            </w:r>
          </w:p>
        </w:tc>
        <w:tc>
          <w:tcPr>
            <w:tcW w:w="0" w:type="auto"/>
            <w:hideMark/>
          </w:tcPr>
          <w:p w14:paraId="1CA905AF"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E.6</w:t>
            </w:r>
          </w:p>
        </w:tc>
        <w:tc>
          <w:tcPr>
            <w:tcW w:w="0" w:type="auto"/>
            <w:hideMark/>
          </w:tcPr>
          <w:p w14:paraId="1B4BDD26"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Gli effetti avversi sulla salute dovuti a radiazione ottica artificiale sono oggetto di riconoscimento di malattia professionale?</w:t>
            </w:r>
          </w:p>
        </w:tc>
        <w:tc>
          <w:tcPr>
            <w:tcW w:w="0" w:type="auto"/>
            <w:hideMark/>
          </w:tcPr>
          <w:p w14:paraId="486FB4B9"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Gli effetti avversi riconducibili all’esposizione professionale a ROA possono essere oggetto di riconoscimento come malattia professionale quando esiste un nesso causale documentabile tra esposizione lavorativa e patologia. La valutazione del rischio, la sorveglianza sanitaria, le misure adottate e la documentazione delle esposizioni sono elementi rilevanti anche ai fini medico-legali.</w:t>
            </w:r>
          </w:p>
        </w:tc>
        <w:tc>
          <w:tcPr>
            <w:tcW w:w="0" w:type="auto"/>
            <w:hideMark/>
          </w:tcPr>
          <w:p w14:paraId="007506B6" w14:textId="77777777" w:rsidR="0040502B" w:rsidRPr="0040502B" w:rsidRDefault="0040502B" w:rsidP="0040502B">
            <w:pPr>
              <w:rPr>
                <w:rFonts w:ascii="Times New Roman" w:eastAsia="Times New Roman" w:hAnsi="Times New Roman" w:cs="Times New Roman"/>
                <w:kern w:val="0"/>
                <w:sz w:val="24"/>
                <w:szCs w:val="24"/>
                <w:lang w:eastAsia="it-IT"/>
                <w14:ligatures w14:val="none"/>
              </w:rPr>
            </w:pPr>
            <w:r w:rsidRPr="0040502B">
              <w:rPr>
                <w:rFonts w:ascii="Times New Roman" w:eastAsia="Times New Roman" w:hAnsi="Times New Roman" w:cs="Times New Roman"/>
                <w:kern w:val="0"/>
                <w:sz w:val="24"/>
                <w:szCs w:val="24"/>
                <w:lang w:eastAsia="it-IT"/>
                <w14:ligatures w14:val="none"/>
              </w:rPr>
              <w:t>È importante documentare esposizioni, valutazioni, misure preventive e sorveglianza sanitaria, perché possono avere rilievo assicurativo e medico-legale.</w:t>
            </w:r>
          </w:p>
        </w:tc>
      </w:tr>
    </w:tbl>
    <w:p w14:paraId="0FD26820" w14:textId="77777777" w:rsidR="00336AF8" w:rsidRDefault="00336AF8"/>
    <w:p w14:paraId="6BF53889" w14:textId="68EF366F" w:rsidR="00106AD6" w:rsidRDefault="00106AD6">
      <w:hyperlink r:id="rId4" w:history="1">
        <w:r w:rsidRPr="00665743">
          <w:rPr>
            <w:rStyle w:val="Collegamentoipertestuale"/>
          </w:rPr>
          <w:t>https://www.portaleagentifisici.it/faq_explorer_roa.php?lg=IT</w:t>
        </w:r>
      </w:hyperlink>
    </w:p>
    <w:p w14:paraId="5B4D294C" w14:textId="77777777" w:rsidR="00106AD6" w:rsidRDefault="00106AD6"/>
    <w:sectPr w:rsidR="00106AD6" w:rsidSect="0040502B">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0502B"/>
    <w:rsid w:val="00106AD6"/>
    <w:rsid w:val="00336AF8"/>
    <w:rsid w:val="0040502B"/>
    <w:rsid w:val="00C15881"/>
    <w:rsid w:val="00D078F3"/>
    <w:rsid w:val="00DE5F10"/>
    <w:rsid w:val="00E00D16"/>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7BDAF"/>
  <w15:chartTrackingRefBased/>
  <w15:docId w15:val="{0FA17266-B89F-4699-9111-B850363A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050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050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0502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0502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0502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0502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0502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0502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0502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0502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0502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0502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0502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0502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0502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0502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0502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0502B"/>
    <w:rPr>
      <w:rFonts w:eastAsiaTheme="majorEastAsia" w:cstheme="majorBidi"/>
      <w:color w:val="272727" w:themeColor="text1" w:themeTint="D8"/>
    </w:rPr>
  </w:style>
  <w:style w:type="paragraph" w:styleId="Titolo">
    <w:name w:val="Title"/>
    <w:basedOn w:val="Normale"/>
    <w:next w:val="Normale"/>
    <w:link w:val="TitoloCarattere"/>
    <w:uiPriority w:val="10"/>
    <w:qFormat/>
    <w:rsid w:val="004050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0502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0502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0502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0502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0502B"/>
    <w:rPr>
      <w:i/>
      <w:iCs/>
      <w:color w:val="404040" w:themeColor="text1" w:themeTint="BF"/>
    </w:rPr>
  </w:style>
  <w:style w:type="paragraph" w:styleId="Paragrafoelenco">
    <w:name w:val="List Paragraph"/>
    <w:basedOn w:val="Normale"/>
    <w:uiPriority w:val="34"/>
    <w:qFormat/>
    <w:rsid w:val="0040502B"/>
    <w:pPr>
      <w:ind w:left="720"/>
      <w:contextualSpacing/>
    </w:pPr>
  </w:style>
  <w:style w:type="character" w:styleId="Enfasiintensa">
    <w:name w:val="Intense Emphasis"/>
    <w:basedOn w:val="Carpredefinitoparagrafo"/>
    <w:uiPriority w:val="21"/>
    <w:qFormat/>
    <w:rsid w:val="0040502B"/>
    <w:rPr>
      <w:i/>
      <w:iCs/>
      <w:color w:val="0F4761" w:themeColor="accent1" w:themeShade="BF"/>
    </w:rPr>
  </w:style>
  <w:style w:type="paragraph" w:styleId="Citazioneintensa">
    <w:name w:val="Intense Quote"/>
    <w:basedOn w:val="Normale"/>
    <w:next w:val="Normale"/>
    <w:link w:val="CitazioneintensaCarattere"/>
    <w:uiPriority w:val="30"/>
    <w:qFormat/>
    <w:rsid w:val="004050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0502B"/>
    <w:rPr>
      <w:i/>
      <w:iCs/>
      <w:color w:val="0F4761" w:themeColor="accent1" w:themeShade="BF"/>
    </w:rPr>
  </w:style>
  <w:style w:type="character" w:styleId="Riferimentointenso">
    <w:name w:val="Intense Reference"/>
    <w:basedOn w:val="Carpredefinitoparagrafo"/>
    <w:uiPriority w:val="32"/>
    <w:qFormat/>
    <w:rsid w:val="0040502B"/>
    <w:rPr>
      <w:b/>
      <w:bCs/>
      <w:smallCaps/>
      <w:color w:val="0F4761" w:themeColor="accent1" w:themeShade="BF"/>
      <w:spacing w:val="5"/>
    </w:rPr>
  </w:style>
  <w:style w:type="paragraph" w:styleId="NormaleWeb">
    <w:name w:val="Normal (Web)"/>
    <w:basedOn w:val="Normale"/>
    <w:uiPriority w:val="99"/>
    <w:semiHidden/>
    <w:unhideWhenUsed/>
    <w:rsid w:val="0040502B"/>
    <w:pPr>
      <w:spacing w:before="100" w:beforeAutospacing="1" w:after="100" w:afterAutospacing="1" w:line="240" w:lineRule="auto"/>
    </w:pPr>
    <w:rPr>
      <w:rFonts w:ascii="Aptos" w:hAnsi="Aptos" w:cs="Aptos"/>
      <w:kern w:val="0"/>
      <w:sz w:val="24"/>
      <w:szCs w:val="24"/>
      <w:lang w:eastAsia="it-IT"/>
    </w:rPr>
  </w:style>
  <w:style w:type="table" w:styleId="Grigliatabella">
    <w:name w:val="Table Grid"/>
    <w:basedOn w:val="Tabellanormale"/>
    <w:uiPriority w:val="39"/>
    <w:rsid w:val="00405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40502B"/>
    <w:rPr>
      <w:i/>
      <w:iCs/>
    </w:rPr>
  </w:style>
  <w:style w:type="character" w:styleId="Enfasigrassetto">
    <w:name w:val="Strong"/>
    <w:basedOn w:val="Carpredefinitoparagrafo"/>
    <w:uiPriority w:val="22"/>
    <w:qFormat/>
    <w:rsid w:val="0040502B"/>
    <w:rPr>
      <w:b/>
      <w:bCs/>
    </w:rPr>
  </w:style>
  <w:style w:type="character" w:styleId="Collegamentoipertestuale">
    <w:name w:val="Hyperlink"/>
    <w:basedOn w:val="Carpredefinitoparagrafo"/>
    <w:uiPriority w:val="99"/>
    <w:unhideWhenUsed/>
    <w:rsid w:val="00106AD6"/>
    <w:rPr>
      <w:color w:val="467886" w:themeColor="hyperlink"/>
      <w:u w:val="single"/>
    </w:rPr>
  </w:style>
  <w:style w:type="character" w:styleId="Menzionenonrisolta">
    <w:name w:val="Unresolved Mention"/>
    <w:basedOn w:val="Carpredefinitoparagrafo"/>
    <w:uiPriority w:val="99"/>
    <w:semiHidden/>
    <w:unhideWhenUsed/>
    <w:rsid w:val="00106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ortaleagentifisici.it/faq_explorer_roa.php?l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4818</Words>
  <Characters>30358</Characters>
  <Application>Microsoft Office Word</Application>
  <DocSecurity>0</DocSecurity>
  <Lines>1517</Lines>
  <Paragraphs>351</Paragraphs>
  <ScaleCrop>false</ScaleCrop>
  <Company/>
  <LinksUpToDate>false</LinksUpToDate>
  <CharactersWithSpaces>34825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3</cp:revision>
  <dcterms:created xsi:type="dcterms:W3CDTF">2026-06-23T13:21:00Z</dcterms:created>
  <dcterms:modified xsi:type="dcterms:W3CDTF">2026-06-23T13:22:00Z</dcterms:modified>
</cp:coreProperties>
</file>