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14A69" w14:textId="77777777" w:rsidR="00681EED" w:rsidRPr="00681EED" w:rsidRDefault="00681EED" w:rsidP="00681EE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81E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FAQ MLPS 27.03.2026 – Accordo SR n. 59/2025</w:t>
      </w:r>
    </w:p>
    <w:p w14:paraId="03905F56" w14:textId="557D9B24" w:rsidR="00681EED" w:rsidRPr="00681EED" w:rsidRDefault="00681EED" w:rsidP="00681E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81EE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Tabella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Sintetica Operativa</w:t>
      </w:r>
    </w:p>
    <w:p w14:paraId="428E1E3A" w14:textId="77777777" w:rsidR="00681EED" w:rsidRDefault="00681EED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8"/>
        <w:gridCol w:w="4397"/>
        <w:gridCol w:w="3042"/>
        <w:gridCol w:w="2774"/>
        <w:gridCol w:w="1766"/>
      </w:tblGrid>
      <w:tr w:rsidR="00681EED" w:rsidRPr="00681EED" w14:paraId="02F59838" w14:textId="77777777" w:rsidTr="00681EE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C42F82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Quesito</w:t>
            </w:r>
          </w:p>
        </w:tc>
        <w:tc>
          <w:tcPr>
            <w:tcW w:w="0" w:type="auto"/>
            <w:vAlign w:val="center"/>
            <w:hideMark/>
          </w:tcPr>
          <w:p w14:paraId="4C5F5C87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Cosa dice il MLPS</w:t>
            </w:r>
          </w:p>
        </w:tc>
        <w:tc>
          <w:tcPr>
            <w:tcW w:w="0" w:type="auto"/>
            <w:vAlign w:val="center"/>
            <w:hideMark/>
          </w:tcPr>
          <w:p w14:paraId="016D79C5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Cosa cambia in pratica</w:t>
            </w:r>
          </w:p>
        </w:tc>
        <w:tc>
          <w:tcPr>
            <w:tcW w:w="0" w:type="auto"/>
            <w:vAlign w:val="center"/>
            <w:hideMark/>
          </w:tcPr>
          <w:p w14:paraId="5FE51C0F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Cosa deve fare il datore di lavoro / ente formatore</w:t>
            </w:r>
          </w:p>
        </w:tc>
        <w:tc>
          <w:tcPr>
            <w:tcW w:w="0" w:type="auto"/>
            <w:vAlign w:val="center"/>
            <w:hideMark/>
          </w:tcPr>
          <w:p w14:paraId="73724CB4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</w:tr>
      <w:tr w:rsidR="00681EED" w:rsidRPr="00681EED" w14:paraId="307BFD6E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D5584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Accreditamento regionale</w:t>
            </w:r>
          </w:p>
        </w:tc>
        <w:tc>
          <w:tcPr>
            <w:tcW w:w="0" w:type="auto"/>
            <w:vAlign w:val="center"/>
            <w:hideMark/>
          </w:tcPr>
          <w:p w14:paraId="20267323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L’accreditamento vale solo nella Regione/PA che lo ha rilasciato. Gli attestati conformi valgono su tutto il territorio nazionale.</w:t>
            </w:r>
          </w:p>
        </w:tc>
        <w:tc>
          <w:tcPr>
            <w:tcW w:w="0" w:type="auto"/>
            <w:vAlign w:val="center"/>
            <w:hideMark/>
          </w:tcPr>
          <w:p w14:paraId="7E1BC972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Cade l’idea di una spendibilità automatica dell’accreditamento in tutta Italia.</w:t>
            </w:r>
          </w:p>
        </w:tc>
        <w:tc>
          <w:tcPr>
            <w:tcW w:w="0" w:type="auto"/>
            <w:vAlign w:val="center"/>
            <w:hideMark/>
          </w:tcPr>
          <w:p w14:paraId="0B0C226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dove si opera e, se necessario, ottenere più accreditamenti regionali.</w:t>
            </w:r>
          </w:p>
        </w:tc>
        <w:tc>
          <w:tcPr>
            <w:tcW w:w="0" w:type="auto"/>
            <w:vAlign w:val="center"/>
            <w:hideMark/>
          </w:tcPr>
          <w:p w14:paraId="6B90E3B1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3BA45F81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62FD1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Firme su attestati</w:t>
            </w:r>
          </w:p>
        </w:tc>
        <w:tc>
          <w:tcPr>
            <w:tcW w:w="0" w:type="auto"/>
            <w:vAlign w:val="center"/>
            <w:hideMark/>
          </w:tcPr>
          <w:p w14:paraId="2B552A03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dati minimi dell’attestato sono quelli previsti dall’Accordo, ma si possono aggiungere altri elementi.</w:t>
            </w:r>
          </w:p>
        </w:tc>
        <w:tc>
          <w:tcPr>
            <w:tcW w:w="0" w:type="auto"/>
            <w:vAlign w:val="center"/>
            <w:hideMark/>
          </w:tcPr>
          <w:p w14:paraId="7D397AB2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ammesso un attestato più “ricco” rispetto al minimo normativo.</w:t>
            </w:r>
          </w:p>
        </w:tc>
        <w:tc>
          <w:tcPr>
            <w:tcW w:w="0" w:type="auto"/>
            <w:vAlign w:val="center"/>
            <w:hideMark/>
          </w:tcPr>
          <w:p w14:paraId="2124F50E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Inserire eventuali firme aggiuntive solo come elemento ulteriore, senza omettere i dati minimi obbligatori.</w:t>
            </w:r>
          </w:p>
        </w:tc>
        <w:tc>
          <w:tcPr>
            <w:tcW w:w="0" w:type="auto"/>
            <w:vAlign w:val="center"/>
            <w:hideMark/>
          </w:tcPr>
          <w:p w14:paraId="21D9CD44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02FEC688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09B60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Autocertificazione associazioni</w:t>
            </w:r>
          </w:p>
        </w:tc>
        <w:tc>
          <w:tcPr>
            <w:tcW w:w="0" w:type="auto"/>
            <w:vAlign w:val="center"/>
            <w:hideMark/>
          </w:tcPr>
          <w:p w14:paraId="48857E9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 presentata al soggetto che richiede il corso ed esibita agli organi di vigilanza o a chi richiede la progettazione/erogazione.</w:t>
            </w:r>
          </w:p>
        </w:tc>
        <w:tc>
          <w:tcPr>
            <w:tcW w:w="0" w:type="auto"/>
            <w:vAlign w:val="center"/>
            <w:hideMark/>
          </w:tcPr>
          <w:p w14:paraId="4456B3C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L’autocertificazione diventa documento funzionale all’attività formativa.</w:t>
            </w:r>
          </w:p>
        </w:tc>
        <w:tc>
          <w:tcPr>
            <w:tcW w:w="0" w:type="auto"/>
            <w:vAlign w:val="center"/>
            <w:hideMark/>
          </w:tcPr>
          <w:p w14:paraId="4D3BF7B1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Tenerla aggiornata, tracciabile e disponibile in caso di controllo.</w:t>
            </w:r>
          </w:p>
        </w:tc>
        <w:tc>
          <w:tcPr>
            <w:tcW w:w="0" w:type="auto"/>
            <w:vAlign w:val="center"/>
            <w:hideMark/>
          </w:tcPr>
          <w:p w14:paraId="109A1AB2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6BC98DB5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12F4CD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Codice ATECO in attestato</w:t>
            </w:r>
          </w:p>
        </w:tc>
        <w:tc>
          <w:tcPr>
            <w:tcW w:w="0" w:type="auto"/>
            <w:vAlign w:val="center"/>
            <w:hideMark/>
          </w:tcPr>
          <w:p w14:paraId="0946021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codice ATECO non è tra gli elementi minimi obbligatori dell’attestato.</w:t>
            </w:r>
          </w:p>
        </w:tc>
        <w:tc>
          <w:tcPr>
            <w:tcW w:w="0" w:type="auto"/>
            <w:vAlign w:val="center"/>
            <w:hideMark/>
          </w:tcPr>
          <w:p w14:paraId="5DCAFDD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è più corretto considerarlo requisito essenziale del certificato.</w:t>
            </w:r>
          </w:p>
        </w:tc>
        <w:tc>
          <w:tcPr>
            <w:tcW w:w="0" w:type="auto"/>
            <w:vAlign w:val="center"/>
            <w:hideMark/>
          </w:tcPr>
          <w:p w14:paraId="4F7A3E34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può inserire, ma non va trattato come dato obbligatorio.</w:t>
            </w:r>
          </w:p>
        </w:tc>
        <w:tc>
          <w:tcPr>
            <w:tcW w:w="0" w:type="auto"/>
            <w:vAlign w:val="center"/>
            <w:hideMark/>
          </w:tcPr>
          <w:p w14:paraId="1FB131A0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706B600A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E36A4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Corsi multi-Ateco</w:t>
            </w:r>
          </w:p>
        </w:tc>
        <w:tc>
          <w:tcPr>
            <w:tcW w:w="0" w:type="auto"/>
            <w:vAlign w:val="center"/>
            <w:hideMark/>
          </w:tcPr>
          <w:p w14:paraId="0992FBFC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Ammessi solo con forte omogeneità tra partecipanti, mansioni e rischi reali.</w:t>
            </w:r>
          </w:p>
        </w:tc>
        <w:tc>
          <w:tcPr>
            <w:tcW w:w="0" w:type="auto"/>
            <w:vAlign w:val="center"/>
            <w:hideMark/>
          </w:tcPr>
          <w:p w14:paraId="66D9B42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aule miste non sono vietate, ma devono essere progettate con criterio.</w:t>
            </w:r>
          </w:p>
        </w:tc>
        <w:tc>
          <w:tcPr>
            <w:tcW w:w="0" w:type="auto"/>
            <w:vAlign w:val="center"/>
            <w:hideMark/>
          </w:tcPr>
          <w:p w14:paraId="48E24D6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Documentare la coerenza tra valutazione dei rischi, mansioni e gruppo aula.</w:t>
            </w:r>
          </w:p>
        </w:tc>
        <w:tc>
          <w:tcPr>
            <w:tcW w:w="0" w:type="auto"/>
            <w:vAlign w:val="center"/>
            <w:hideMark/>
          </w:tcPr>
          <w:p w14:paraId="2CC082EC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1702CB55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04456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Credito formativo oltre 10 anni</w:t>
            </w:r>
          </w:p>
        </w:tc>
        <w:tc>
          <w:tcPr>
            <w:tcW w:w="0" w:type="auto"/>
            <w:vAlign w:val="center"/>
            <w:hideMark/>
          </w:tcPr>
          <w:p w14:paraId="3C5A75E1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credito dei corsi abilitanti decade se non accompagnato da aggiornamenti entro 10 anni.</w:t>
            </w:r>
          </w:p>
        </w:tc>
        <w:tc>
          <w:tcPr>
            <w:tcW w:w="0" w:type="auto"/>
            <w:vAlign w:val="center"/>
            <w:hideMark/>
          </w:tcPr>
          <w:p w14:paraId="7568FC05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Oltre il decennio non basta più aggiornare: occorre rifare il corso.</w:t>
            </w:r>
          </w:p>
        </w:tc>
        <w:tc>
          <w:tcPr>
            <w:tcW w:w="0" w:type="auto"/>
            <w:vAlign w:val="center"/>
            <w:hideMark/>
          </w:tcPr>
          <w:p w14:paraId="5799505D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Controllare le date degli attestati storici e distinguere tra aggiornamento tardivo ancora valido e titolo decaduto.</w:t>
            </w:r>
          </w:p>
        </w:tc>
        <w:tc>
          <w:tcPr>
            <w:tcW w:w="0" w:type="auto"/>
            <w:vAlign w:val="center"/>
            <w:hideMark/>
          </w:tcPr>
          <w:p w14:paraId="2FACE610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367088D8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F355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Formazione entro 60 giorni</w:t>
            </w:r>
          </w:p>
        </w:tc>
        <w:tc>
          <w:tcPr>
            <w:tcW w:w="0" w:type="auto"/>
            <w:vAlign w:val="center"/>
            <w:hideMark/>
          </w:tcPr>
          <w:p w14:paraId="50EE7D62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resta una regola generale dei 60 giorni; vale l’art. 37, comma 4, D.Lgs. 81/08.</w:t>
            </w:r>
          </w:p>
        </w:tc>
        <w:tc>
          <w:tcPr>
            <w:tcW w:w="0" w:type="auto"/>
            <w:vAlign w:val="center"/>
            <w:hideMark/>
          </w:tcPr>
          <w:p w14:paraId="684D0193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formazione va collegata all’assunzione/inizio attività, non differita con logica automatica.</w:t>
            </w:r>
          </w:p>
        </w:tc>
        <w:tc>
          <w:tcPr>
            <w:tcW w:w="0" w:type="auto"/>
            <w:vAlign w:val="center"/>
            <w:hideMark/>
          </w:tcPr>
          <w:p w14:paraId="6D42509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Riprogrammare onboarding e corsi lavoratori in coerenza con l’evento lavorativo.</w:t>
            </w:r>
          </w:p>
        </w:tc>
        <w:tc>
          <w:tcPr>
            <w:tcW w:w="0" w:type="auto"/>
            <w:vAlign w:val="center"/>
            <w:hideMark/>
          </w:tcPr>
          <w:p w14:paraId="241AE283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7AC2FD0A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E845D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efficacia formazione</w:t>
            </w:r>
          </w:p>
        </w:tc>
        <w:tc>
          <w:tcPr>
            <w:tcW w:w="0" w:type="auto"/>
            <w:vAlign w:val="center"/>
            <w:hideMark/>
          </w:tcPr>
          <w:p w14:paraId="7768989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verifica in riunione periodica vale solo dove tale riunione è obbligatoria.</w:t>
            </w:r>
          </w:p>
        </w:tc>
        <w:tc>
          <w:tcPr>
            <w:tcW w:w="0" w:type="auto"/>
            <w:vAlign w:val="center"/>
            <w:hideMark/>
          </w:tcPr>
          <w:p w14:paraId="02B374B0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aziende non obbligate devono comunque usare altre modalità di verifica.</w:t>
            </w:r>
          </w:p>
        </w:tc>
        <w:tc>
          <w:tcPr>
            <w:tcW w:w="0" w:type="auto"/>
            <w:vAlign w:val="center"/>
            <w:hideMark/>
          </w:tcPr>
          <w:p w14:paraId="39903983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Predisporre indicatori e strumenti interni di verifica dell’efficacia formativa.</w:t>
            </w:r>
          </w:p>
        </w:tc>
        <w:tc>
          <w:tcPr>
            <w:tcW w:w="0" w:type="auto"/>
            <w:vAlign w:val="center"/>
            <w:hideMark/>
          </w:tcPr>
          <w:p w14:paraId="6CFB2B8F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35057737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25EA6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Entrata in vigore Accordo</w:t>
            </w:r>
          </w:p>
        </w:tc>
        <w:tc>
          <w:tcPr>
            <w:tcW w:w="0" w:type="auto"/>
            <w:vAlign w:val="center"/>
            <w:hideMark/>
          </w:tcPr>
          <w:p w14:paraId="2FA5BD14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L’Accordo entra in vigore il 19 maggio 2025.</w:t>
            </w:r>
          </w:p>
        </w:tc>
        <w:tc>
          <w:tcPr>
            <w:tcW w:w="0" w:type="auto"/>
            <w:vAlign w:val="center"/>
            <w:hideMark/>
          </w:tcPr>
          <w:p w14:paraId="045379A4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questa data decorrono regime nuovo e periodo transitorio.</w:t>
            </w:r>
          </w:p>
        </w:tc>
        <w:tc>
          <w:tcPr>
            <w:tcW w:w="0" w:type="auto"/>
            <w:vAlign w:val="center"/>
            <w:hideMark/>
          </w:tcPr>
          <w:p w14:paraId="116E461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Usare il 19/05/2025 come data base per calcolo transitori, aggiornamenti e adeguamenti.</w:t>
            </w:r>
          </w:p>
        </w:tc>
        <w:tc>
          <w:tcPr>
            <w:tcW w:w="0" w:type="auto"/>
            <w:vAlign w:val="center"/>
            <w:hideMark/>
          </w:tcPr>
          <w:p w14:paraId="4E83E56D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19/05/2025</w:t>
            </w:r>
          </w:p>
        </w:tc>
      </w:tr>
      <w:tr w:rsidR="00681EED" w:rsidRPr="00681EED" w14:paraId="3A88A224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B530C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CMM – riconoscimento corsi precedenti</w:t>
            </w:r>
          </w:p>
        </w:tc>
        <w:tc>
          <w:tcPr>
            <w:tcW w:w="0" w:type="auto"/>
            <w:vAlign w:val="center"/>
            <w:hideMark/>
          </w:tcPr>
          <w:p w14:paraId="066DB394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Valgono solo i percorsi pregressi pienamente conformi; rilevano soprattutto i corsi gru mobili, non gru su autocarro o escavatori.</w:t>
            </w:r>
          </w:p>
        </w:tc>
        <w:tc>
          <w:tcPr>
            <w:tcW w:w="0" w:type="auto"/>
            <w:vAlign w:val="center"/>
            <w:hideMark/>
          </w:tcPr>
          <w:p w14:paraId="398EDB6E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tutti i vecchi percorsi “simili” danno credito.</w:t>
            </w:r>
          </w:p>
        </w:tc>
        <w:tc>
          <w:tcPr>
            <w:tcW w:w="0" w:type="auto"/>
            <w:vAlign w:val="center"/>
            <w:hideMark/>
          </w:tcPr>
          <w:p w14:paraId="3884DA50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analiticamente contenuti e corrispondenza al nuovo corso CMM.</w:t>
            </w:r>
          </w:p>
        </w:tc>
        <w:tc>
          <w:tcPr>
            <w:tcW w:w="0" w:type="auto"/>
            <w:vAlign w:val="center"/>
            <w:hideMark/>
          </w:tcPr>
          <w:p w14:paraId="5BB7F040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Entro verifiche interne immediate</w:t>
            </w:r>
          </w:p>
        </w:tc>
      </w:tr>
      <w:tr w:rsidR="00681EED" w:rsidRPr="00681EED" w14:paraId="2622F5A8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0FF3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Nuove attrezzature art. 73 c.5</w:t>
            </w:r>
          </w:p>
        </w:tc>
        <w:tc>
          <w:tcPr>
            <w:tcW w:w="0" w:type="auto"/>
            <w:vAlign w:val="center"/>
            <w:hideMark/>
          </w:tcPr>
          <w:p w14:paraId="550BCD67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corsi pregressi sono riconosciuti solo se integralmente conformi al nuovo Accordo.</w:t>
            </w:r>
          </w:p>
        </w:tc>
        <w:tc>
          <w:tcPr>
            <w:tcW w:w="0" w:type="auto"/>
            <w:vAlign w:val="center"/>
            <w:hideMark/>
          </w:tcPr>
          <w:p w14:paraId="40D3BBE3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 riconoscimento parziale.</w:t>
            </w:r>
          </w:p>
        </w:tc>
        <w:tc>
          <w:tcPr>
            <w:tcW w:w="0" w:type="auto"/>
            <w:vAlign w:val="center"/>
            <w:hideMark/>
          </w:tcPr>
          <w:p w14:paraId="15DBDAA5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Fare controllo puntuale dei programmi svolti; se manca qualcosa, ripetere il corso completo.</w:t>
            </w:r>
          </w:p>
        </w:tc>
        <w:tc>
          <w:tcPr>
            <w:tcW w:w="0" w:type="auto"/>
            <w:vAlign w:val="center"/>
            <w:hideMark/>
          </w:tcPr>
          <w:p w14:paraId="2E5FA3FD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65367A7E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6F23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Decorrenza aggiornamento attrezzature</w:t>
            </w:r>
          </w:p>
        </w:tc>
        <w:tc>
          <w:tcPr>
            <w:tcW w:w="0" w:type="auto"/>
            <w:vAlign w:val="center"/>
            <w:hideMark/>
          </w:tcPr>
          <w:p w14:paraId="24F70D10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quinquennio decorre dalla data di conclusione del corso indicata nell’attestato, ma solo se il corso è conforme.</w:t>
            </w:r>
          </w:p>
        </w:tc>
        <w:tc>
          <w:tcPr>
            <w:tcW w:w="0" w:type="auto"/>
            <w:vAlign w:val="center"/>
            <w:hideMark/>
          </w:tcPr>
          <w:p w14:paraId="34BCD390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data da sola non basta: prima serve validazione del contenuto.</w:t>
            </w:r>
          </w:p>
        </w:tc>
        <w:tc>
          <w:tcPr>
            <w:tcW w:w="0" w:type="auto"/>
            <w:vAlign w:val="center"/>
            <w:hideMark/>
          </w:tcPr>
          <w:p w14:paraId="4B0D105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attestato + programma + conformità sostanziale.</w:t>
            </w:r>
          </w:p>
        </w:tc>
        <w:tc>
          <w:tcPr>
            <w:tcW w:w="0" w:type="auto"/>
            <w:vAlign w:val="center"/>
            <w:hideMark/>
          </w:tcPr>
          <w:p w14:paraId="4F39531E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2ABFD72B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61062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Requisiti docenti attrezzature</w:t>
            </w:r>
          </w:p>
        </w:tc>
        <w:tc>
          <w:tcPr>
            <w:tcW w:w="0" w:type="auto"/>
            <w:vAlign w:val="center"/>
            <w:hideMark/>
          </w:tcPr>
          <w:p w14:paraId="61AF6CEC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Docenti teorici: requisiti generali + competenza tecnica; docenti pratici: requisiti generali + almeno 3 anni di esperienza pratica documentata.</w:t>
            </w:r>
          </w:p>
        </w:tc>
        <w:tc>
          <w:tcPr>
            <w:tcW w:w="0" w:type="auto"/>
            <w:vAlign w:val="center"/>
            <w:hideMark/>
          </w:tcPr>
          <w:p w14:paraId="21F2742D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alza la soglia probatoria sulla parte pratica.</w:t>
            </w:r>
          </w:p>
        </w:tc>
        <w:tc>
          <w:tcPr>
            <w:tcW w:w="0" w:type="auto"/>
            <w:vAlign w:val="center"/>
            <w:hideMark/>
          </w:tcPr>
          <w:p w14:paraId="6D5F9F0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Conservare CV, evidenze di esperienza e documentazione tecnica dei docenti.</w:t>
            </w:r>
          </w:p>
        </w:tc>
        <w:tc>
          <w:tcPr>
            <w:tcW w:w="0" w:type="auto"/>
            <w:vAlign w:val="center"/>
            <w:hideMark/>
          </w:tcPr>
          <w:p w14:paraId="0865216C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30A42F6A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E698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1:6 e prova finale</w:t>
            </w:r>
          </w:p>
        </w:tc>
        <w:tc>
          <w:tcPr>
            <w:tcW w:w="0" w:type="auto"/>
            <w:vAlign w:val="center"/>
            <w:hideMark/>
          </w:tcPr>
          <w:p w14:paraId="6A13693C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rapporto 1:6 vale per le esercitazioni pratiche, non per la verifica finale individuale.</w:t>
            </w:r>
          </w:p>
        </w:tc>
        <w:tc>
          <w:tcPr>
            <w:tcW w:w="0" w:type="auto"/>
            <w:vAlign w:val="center"/>
            <w:hideMark/>
          </w:tcPr>
          <w:p w14:paraId="05B9130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prova finale può essere gestita fuori dal vincolo 1:6.</w:t>
            </w:r>
          </w:p>
        </w:tc>
        <w:tc>
          <w:tcPr>
            <w:tcW w:w="0" w:type="auto"/>
            <w:vAlign w:val="center"/>
            <w:hideMark/>
          </w:tcPr>
          <w:p w14:paraId="281C443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Distinguere nei verbali e nella progettazione tra esercitazione pratica e verifica conclusiva.</w:t>
            </w:r>
          </w:p>
        </w:tc>
        <w:tc>
          <w:tcPr>
            <w:tcW w:w="0" w:type="auto"/>
            <w:vAlign w:val="center"/>
            <w:hideMark/>
          </w:tcPr>
          <w:p w14:paraId="5F71ED29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516E2A5C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BB01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attrezzature in VCS/e-learning</w:t>
            </w:r>
          </w:p>
        </w:tc>
        <w:tc>
          <w:tcPr>
            <w:tcW w:w="0" w:type="auto"/>
            <w:vAlign w:val="center"/>
            <w:hideMark/>
          </w:tcPr>
          <w:p w14:paraId="2C5FB0E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ammessi. I corsi attrezzature, iniziali e di aggiornamento, vanno svolti in presenza fisica.</w:t>
            </w:r>
          </w:p>
        </w:tc>
        <w:tc>
          <w:tcPr>
            <w:tcW w:w="0" w:type="auto"/>
            <w:vAlign w:val="center"/>
            <w:hideMark/>
          </w:tcPr>
          <w:p w14:paraId="6E13925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chiude l’uso della formazione a distanza per queste attività.</w:t>
            </w:r>
          </w:p>
        </w:tc>
        <w:tc>
          <w:tcPr>
            <w:tcW w:w="0" w:type="auto"/>
            <w:vAlign w:val="center"/>
            <w:hideMark/>
          </w:tcPr>
          <w:p w14:paraId="7FE22BC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Riprogrammare i calendari solo in presenza.</w:t>
            </w:r>
          </w:p>
        </w:tc>
        <w:tc>
          <w:tcPr>
            <w:tcW w:w="0" w:type="auto"/>
            <w:vAlign w:val="center"/>
            <w:hideMark/>
          </w:tcPr>
          <w:p w14:paraId="22B69490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4D9D0649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5BE14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Telescopico con pala</w:t>
            </w:r>
          </w:p>
        </w:tc>
        <w:tc>
          <w:tcPr>
            <w:tcW w:w="0" w:type="auto"/>
            <w:vAlign w:val="center"/>
            <w:hideMark/>
          </w:tcPr>
          <w:p w14:paraId="01DEB3D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l’accessorio rende l’attrezzatura riconducibile ad altra definizione dell’Allegato II, serve relativo titolo abilitativo.</w:t>
            </w:r>
          </w:p>
        </w:tc>
        <w:tc>
          <w:tcPr>
            <w:tcW w:w="0" w:type="auto"/>
            <w:vAlign w:val="center"/>
            <w:hideMark/>
          </w:tcPr>
          <w:p w14:paraId="57A71946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conta solo il “nome” della macchina, ma la configurazione d’uso concreta.</w:t>
            </w:r>
          </w:p>
        </w:tc>
        <w:tc>
          <w:tcPr>
            <w:tcW w:w="0" w:type="auto"/>
            <w:vAlign w:val="center"/>
            <w:hideMark/>
          </w:tcPr>
          <w:p w14:paraId="4081732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Mappare accessori e configurazioni effettive presenti in azienda.</w:t>
            </w:r>
          </w:p>
        </w:tc>
        <w:tc>
          <w:tcPr>
            <w:tcW w:w="0" w:type="auto"/>
            <w:vAlign w:val="center"/>
            <w:hideMark/>
          </w:tcPr>
          <w:p w14:paraId="412BEFD8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76F6089C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7100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Escavatori e vecchi corsi non conformi</w:t>
            </w:r>
          </w:p>
        </w:tc>
        <w:tc>
          <w:tcPr>
            <w:tcW w:w="0" w:type="auto"/>
            <w:vAlign w:val="center"/>
            <w:hideMark/>
          </w:tcPr>
          <w:p w14:paraId="55FF0A3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percorsi già svolti ma non conformi al quadro riconosciuto non valgono come formazione pregressa.</w:t>
            </w:r>
          </w:p>
        </w:tc>
        <w:tc>
          <w:tcPr>
            <w:tcW w:w="0" w:type="auto"/>
            <w:vAlign w:val="center"/>
            <w:hideMark/>
          </w:tcPr>
          <w:p w14:paraId="34382E8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Molti corsi “aziendali” non normati potrebbero non essere spendibili.</w:t>
            </w:r>
          </w:p>
        </w:tc>
        <w:tc>
          <w:tcPr>
            <w:tcW w:w="0" w:type="auto"/>
            <w:vAlign w:val="center"/>
            <w:hideMark/>
          </w:tcPr>
          <w:p w14:paraId="6A5EF57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Riesaminare archivio corsi escavatori e rifare i percorsi non riconoscibili.</w:t>
            </w:r>
          </w:p>
        </w:tc>
        <w:tc>
          <w:tcPr>
            <w:tcW w:w="0" w:type="auto"/>
            <w:vAlign w:val="center"/>
            <w:hideMark/>
          </w:tcPr>
          <w:p w14:paraId="57FBEE69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2180E425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53A0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Carroponte – corsi già programmati ma non svolti</w:t>
            </w:r>
          </w:p>
        </w:tc>
        <w:tc>
          <w:tcPr>
            <w:tcW w:w="0" w:type="auto"/>
            <w:vAlign w:val="center"/>
            <w:hideMark/>
          </w:tcPr>
          <w:p w14:paraId="5E8064B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il corso non era ancora stato erogato, deve rispettare integralmente il nuovo Accordo.</w:t>
            </w:r>
          </w:p>
        </w:tc>
        <w:tc>
          <w:tcPr>
            <w:tcW w:w="0" w:type="auto"/>
            <w:vAlign w:val="center"/>
            <w:hideMark/>
          </w:tcPr>
          <w:p w14:paraId="7EA51E44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si può invocare la “vecchia progettazione” per corsi non ancora partiti.</w:t>
            </w:r>
          </w:p>
        </w:tc>
        <w:tc>
          <w:tcPr>
            <w:tcW w:w="0" w:type="auto"/>
            <w:vAlign w:val="center"/>
            <w:hideMark/>
          </w:tcPr>
          <w:p w14:paraId="1F8709B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Aggiornare subito programmi, durata e organizzazione dei corsi carroponte.</w:t>
            </w:r>
          </w:p>
        </w:tc>
        <w:tc>
          <w:tcPr>
            <w:tcW w:w="0" w:type="auto"/>
            <w:vAlign w:val="center"/>
            <w:hideMark/>
          </w:tcPr>
          <w:p w14:paraId="1A8CAACB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57335CA7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D3455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Gru a bandiera</w:t>
            </w:r>
          </w:p>
        </w:tc>
        <w:tc>
          <w:tcPr>
            <w:tcW w:w="0" w:type="auto"/>
            <w:vAlign w:val="center"/>
            <w:hideMark/>
          </w:tcPr>
          <w:p w14:paraId="3D8D995D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rientrano tra le attrezzature con obbligo di abilitazione ai sensi dell’Accordo.</w:t>
            </w:r>
          </w:p>
        </w:tc>
        <w:tc>
          <w:tcPr>
            <w:tcW w:w="0" w:type="auto"/>
            <w:vAlign w:val="center"/>
            <w:hideMark/>
          </w:tcPr>
          <w:p w14:paraId="7C41619E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Esclusione chiara dall’ambito del titolo abilitante specifico.</w:t>
            </w:r>
          </w:p>
        </w:tc>
        <w:tc>
          <w:tcPr>
            <w:tcW w:w="0" w:type="auto"/>
            <w:vAlign w:val="center"/>
            <w:hideMark/>
          </w:tcPr>
          <w:p w14:paraId="734AEC9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Evitare richieste indebite di abilitazione ex Accordo per tali attrezzature.</w:t>
            </w:r>
          </w:p>
        </w:tc>
        <w:tc>
          <w:tcPr>
            <w:tcW w:w="0" w:type="auto"/>
            <w:vAlign w:val="center"/>
            <w:hideMark/>
          </w:tcPr>
          <w:p w14:paraId="1C648447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7EA495F7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649BC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Ambienti confinati – termine</w:t>
            </w:r>
          </w:p>
        </w:tc>
        <w:tc>
          <w:tcPr>
            <w:tcW w:w="0" w:type="auto"/>
            <w:vAlign w:val="center"/>
            <w:hideMark/>
          </w:tcPr>
          <w:p w14:paraId="1CF78DB0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corso deve essere frequentato e concluso entro 12 mesi dall’entrata in vigore dell’Accordo.</w:t>
            </w:r>
          </w:p>
        </w:tc>
        <w:tc>
          <w:tcPr>
            <w:tcW w:w="0" w:type="auto"/>
            <w:vAlign w:val="center"/>
            <w:hideMark/>
          </w:tcPr>
          <w:p w14:paraId="60034AFD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C’è una finestra temporale precisa di adeguamento.</w:t>
            </w:r>
          </w:p>
        </w:tc>
        <w:tc>
          <w:tcPr>
            <w:tcW w:w="0" w:type="auto"/>
            <w:vAlign w:val="center"/>
            <w:hideMark/>
          </w:tcPr>
          <w:p w14:paraId="7960B2A2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Pianificare formazione per lavoratori, datori di lavoro e autonomi interessati.</w:t>
            </w:r>
          </w:p>
        </w:tc>
        <w:tc>
          <w:tcPr>
            <w:tcW w:w="0" w:type="auto"/>
            <w:vAlign w:val="center"/>
            <w:hideMark/>
          </w:tcPr>
          <w:p w14:paraId="0DB1F22E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Entro 19/05/2026</w:t>
            </w:r>
          </w:p>
        </w:tc>
      </w:tr>
      <w:tr w:rsidR="00681EED" w:rsidRPr="00681EED" w14:paraId="11429673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1A1AF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Ambienti confinati – riconoscimento corsi già fatti</w:t>
            </w:r>
          </w:p>
        </w:tc>
        <w:tc>
          <w:tcPr>
            <w:tcW w:w="0" w:type="auto"/>
            <w:vAlign w:val="center"/>
            <w:hideMark/>
          </w:tcPr>
          <w:p w14:paraId="038967D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Riconoscimento possibile solo se i contenuti sono conformi al nuovo Accordo.</w:t>
            </w:r>
          </w:p>
        </w:tc>
        <w:tc>
          <w:tcPr>
            <w:tcW w:w="0" w:type="auto"/>
            <w:vAlign w:val="center"/>
            <w:hideMark/>
          </w:tcPr>
          <w:p w14:paraId="4961BBC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riconoscimento non è automatico.</w:t>
            </w:r>
          </w:p>
        </w:tc>
        <w:tc>
          <w:tcPr>
            <w:tcW w:w="0" w:type="auto"/>
            <w:vAlign w:val="center"/>
            <w:hideMark/>
          </w:tcPr>
          <w:p w14:paraId="456ED515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Confrontare il programma storico con la Parte II, punto 7 dell’Accordo.</w:t>
            </w:r>
          </w:p>
        </w:tc>
        <w:tc>
          <w:tcPr>
            <w:tcW w:w="0" w:type="auto"/>
            <w:vAlign w:val="center"/>
            <w:hideMark/>
          </w:tcPr>
          <w:p w14:paraId="47F15B26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Prima dell’uso del credito</w:t>
            </w:r>
          </w:p>
        </w:tc>
      </w:tr>
      <w:tr w:rsidR="00681EED" w:rsidRPr="00681EED" w14:paraId="602929B5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9284D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Ambienti confinati – integrazione parziale</w:t>
            </w:r>
          </w:p>
        </w:tc>
        <w:tc>
          <w:tcPr>
            <w:tcW w:w="0" w:type="auto"/>
            <w:vAlign w:val="center"/>
            <w:hideMark/>
          </w:tcPr>
          <w:p w14:paraId="09FF9F8D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mancano contenuti o ore, non basta integrare: il corso va rifatto interamente.</w:t>
            </w:r>
          </w:p>
        </w:tc>
        <w:tc>
          <w:tcPr>
            <w:tcW w:w="0" w:type="auto"/>
            <w:vAlign w:val="center"/>
            <w:hideMark/>
          </w:tcPr>
          <w:p w14:paraId="2E989D7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Stop alle integrazioni “a saldo”.</w:t>
            </w:r>
          </w:p>
        </w:tc>
        <w:tc>
          <w:tcPr>
            <w:tcW w:w="0" w:type="auto"/>
            <w:vAlign w:val="center"/>
            <w:hideMark/>
          </w:tcPr>
          <w:p w14:paraId="2FDDD5BE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Evitare mini-moduli integrativi e ripianificare il corso completo.</w:t>
            </w:r>
          </w:p>
        </w:tc>
        <w:tc>
          <w:tcPr>
            <w:tcW w:w="0" w:type="auto"/>
            <w:vAlign w:val="center"/>
            <w:hideMark/>
          </w:tcPr>
          <w:p w14:paraId="6C5DA8FF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40267297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1F453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Datore di lavoro che svolge compiti di prevenzione e protezione</w:t>
            </w:r>
          </w:p>
        </w:tc>
        <w:tc>
          <w:tcPr>
            <w:tcW w:w="0" w:type="auto"/>
            <w:vAlign w:val="center"/>
            <w:hideMark/>
          </w:tcPr>
          <w:p w14:paraId="6576D962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fare corso propedeutico + modulo comune + eventuali moduli tecnici-integrativi.</w:t>
            </w:r>
          </w:p>
        </w:tc>
        <w:tc>
          <w:tcPr>
            <w:tcW w:w="0" w:type="auto"/>
            <w:vAlign w:val="center"/>
            <w:hideMark/>
          </w:tcPr>
          <w:p w14:paraId="1B7E7E83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Percorso più strutturato e modulare.</w:t>
            </w:r>
          </w:p>
        </w:tc>
        <w:tc>
          <w:tcPr>
            <w:tcW w:w="0" w:type="auto"/>
            <w:vAlign w:val="center"/>
            <w:hideMark/>
          </w:tcPr>
          <w:p w14:paraId="5EC82F5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Individuare il corretto itinerario formativo in base al settore.</w:t>
            </w:r>
          </w:p>
        </w:tc>
        <w:tc>
          <w:tcPr>
            <w:tcW w:w="0" w:type="auto"/>
            <w:vAlign w:val="center"/>
            <w:hideMark/>
          </w:tcPr>
          <w:p w14:paraId="40CE29CD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22FA6554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6F1E2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Dirigenti e preposti nella formazione interna</w:t>
            </w:r>
          </w:p>
        </w:tc>
        <w:tc>
          <w:tcPr>
            <w:tcW w:w="0" w:type="auto"/>
            <w:vAlign w:val="center"/>
            <w:hideMark/>
          </w:tcPr>
          <w:p w14:paraId="0B7A3B94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L’esonero metodologico per la formazione interna si estende anche a dirigenti e preposti.</w:t>
            </w:r>
          </w:p>
        </w:tc>
        <w:tc>
          <w:tcPr>
            <w:tcW w:w="0" w:type="auto"/>
            <w:vAlign w:val="center"/>
            <w:hideMark/>
          </w:tcPr>
          <w:p w14:paraId="6B4C5363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Confermata lettura estensiva della nozione di lavoratore.</w:t>
            </w:r>
          </w:p>
        </w:tc>
        <w:tc>
          <w:tcPr>
            <w:tcW w:w="0" w:type="auto"/>
            <w:vAlign w:val="center"/>
            <w:hideMark/>
          </w:tcPr>
          <w:p w14:paraId="6A27E6C3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Aggiornare procedure interne e progettazione corsi aziendali.</w:t>
            </w:r>
          </w:p>
        </w:tc>
        <w:tc>
          <w:tcPr>
            <w:tcW w:w="0" w:type="auto"/>
            <w:vAlign w:val="center"/>
            <w:hideMark/>
          </w:tcPr>
          <w:p w14:paraId="17CCB2F7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33459EA9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0E18C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lavoratori e assunzione</w:t>
            </w:r>
          </w:p>
        </w:tc>
        <w:tc>
          <w:tcPr>
            <w:tcW w:w="0" w:type="auto"/>
            <w:vAlign w:val="center"/>
            <w:hideMark/>
          </w:tcPr>
          <w:p w14:paraId="66DAC07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formazione deve avvenire in occasione della costituzione del rapporto di lavoro.</w:t>
            </w:r>
          </w:p>
        </w:tc>
        <w:tc>
          <w:tcPr>
            <w:tcW w:w="0" w:type="auto"/>
            <w:vAlign w:val="center"/>
            <w:hideMark/>
          </w:tcPr>
          <w:p w14:paraId="7116C4C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Approccio restrittivo sul rinvio post-assuntivo.</w:t>
            </w:r>
          </w:p>
        </w:tc>
        <w:tc>
          <w:tcPr>
            <w:tcW w:w="0" w:type="auto"/>
            <w:vAlign w:val="center"/>
            <w:hideMark/>
          </w:tcPr>
          <w:p w14:paraId="11884344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Inserire la formazione tra gli adempimenti iniziali del rapporto.</w:t>
            </w:r>
          </w:p>
        </w:tc>
        <w:tc>
          <w:tcPr>
            <w:tcW w:w="0" w:type="auto"/>
            <w:vAlign w:val="center"/>
            <w:hideMark/>
          </w:tcPr>
          <w:p w14:paraId="33893F14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21A45A42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47C4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VCS e formazione pratica</w:t>
            </w:r>
          </w:p>
        </w:tc>
        <w:tc>
          <w:tcPr>
            <w:tcW w:w="0" w:type="auto"/>
            <w:vAlign w:val="center"/>
            <w:hideMark/>
          </w:tcPr>
          <w:p w14:paraId="28819E0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alcuni corsi ad alto contenuto pratico la VCS è esclusa totalmente, anche per la teoria.</w:t>
            </w:r>
          </w:p>
        </w:tc>
        <w:tc>
          <w:tcPr>
            <w:tcW w:w="0" w:type="auto"/>
            <w:vAlign w:val="center"/>
            <w:hideMark/>
          </w:tcPr>
          <w:p w14:paraId="0F98E072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basta distinguere teoria/pratica: contano anche le scelte specifiche delle tabelle dell’Accordo.</w:t>
            </w:r>
          </w:p>
        </w:tc>
        <w:tc>
          <w:tcPr>
            <w:tcW w:w="0" w:type="auto"/>
            <w:vAlign w:val="center"/>
            <w:hideMark/>
          </w:tcPr>
          <w:p w14:paraId="76E71DB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per ogni corso le modalità consentite nella tabella 3.5.</w:t>
            </w:r>
          </w:p>
        </w:tc>
        <w:tc>
          <w:tcPr>
            <w:tcW w:w="0" w:type="auto"/>
            <w:vAlign w:val="center"/>
            <w:hideMark/>
          </w:tcPr>
          <w:p w14:paraId="1B6C37C6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6032DC17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2759B6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DL-RSPP formazione pregressa storica</w:t>
            </w:r>
          </w:p>
        </w:tc>
        <w:tc>
          <w:tcPr>
            <w:tcW w:w="0" w:type="auto"/>
            <w:vAlign w:val="center"/>
            <w:hideMark/>
          </w:tcPr>
          <w:p w14:paraId="35A97CC0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riconosciuti anche i crediti di chi era esonerato o formato ai sensi del DM 16/01/1997, se in regola all’epoca.</w:t>
            </w:r>
          </w:p>
        </w:tc>
        <w:tc>
          <w:tcPr>
            <w:tcW w:w="0" w:type="auto"/>
            <w:vAlign w:val="center"/>
            <w:hideMark/>
          </w:tcPr>
          <w:p w14:paraId="42239F3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tutti i vecchi titoli sono da azzerare.</w:t>
            </w:r>
          </w:p>
        </w:tc>
        <w:tc>
          <w:tcPr>
            <w:tcW w:w="0" w:type="auto"/>
            <w:vAlign w:val="center"/>
            <w:hideMark/>
          </w:tcPr>
          <w:p w14:paraId="6BA046DD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Ricostruire correttamente il titolo originario e la relativa base giuridica.</w:t>
            </w:r>
          </w:p>
        </w:tc>
        <w:tc>
          <w:tcPr>
            <w:tcW w:w="0" w:type="auto"/>
            <w:vAlign w:val="center"/>
            <w:hideMark/>
          </w:tcPr>
          <w:p w14:paraId="7ECB8178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02E33DE0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2562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 – aggiornamento oltre 2 anni</w:t>
            </w:r>
          </w:p>
        </w:tc>
        <w:tc>
          <w:tcPr>
            <w:tcW w:w="0" w:type="auto"/>
            <w:vAlign w:val="center"/>
            <w:hideMark/>
          </w:tcPr>
          <w:p w14:paraId="1820741C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al 19/05/2025 la formazione/aggiornamento ha più di 2 anni, l’aggiornamento va fatto entro 12 mesi.</w:t>
            </w:r>
          </w:p>
        </w:tc>
        <w:tc>
          <w:tcPr>
            <w:tcW w:w="0" w:type="auto"/>
            <w:vAlign w:val="center"/>
            <w:hideMark/>
          </w:tcPr>
          <w:p w14:paraId="30130A66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crea una scadenza transitoria specifica.</w:t>
            </w:r>
          </w:p>
        </w:tc>
        <w:tc>
          <w:tcPr>
            <w:tcW w:w="0" w:type="auto"/>
            <w:vAlign w:val="center"/>
            <w:hideMark/>
          </w:tcPr>
          <w:p w14:paraId="6582B5AE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Mappare tutti i preposti e separare quelli “oltre 2 anni” da quelli più recenti.</w:t>
            </w:r>
          </w:p>
        </w:tc>
        <w:tc>
          <w:tcPr>
            <w:tcW w:w="0" w:type="auto"/>
            <w:vAlign w:val="center"/>
            <w:hideMark/>
          </w:tcPr>
          <w:p w14:paraId="6280D11D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Entro 19/05/2026</w:t>
            </w:r>
          </w:p>
        </w:tc>
      </w:tr>
      <w:tr w:rsidR="00681EED" w:rsidRPr="00681EED" w14:paraId="6CE3A59A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C962E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 – formazione recente</w:t>
            </w:r>
          </w:p>
        </w:tc>
        <w:tc>
          <w:tcPr>
            <w:tcW w:w="0" w:type="auto"/>
            <w:vAlign w:val="center"/>
            <w:hideMark/>
          </w:tcPr>
          <w:p w14:paraId="62E468C0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il preposto è stato formato da meno di 2 anni al 19/05/2025, si applica la nuova biennalità.</w:t>
            </w:r>
          </w:p>
        </w:tc>
        <w:tc>
          <w:tcPr>
            <w:tcW w:w="0" w:type="auto"/>
            <w:vAlign w:val="center"/>
            <w:hideMark/>
          </w:tcPr>
          <w:p w14:paraId="6F937200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Parte il nuovo regime di aggiornamento ogni 2 anni.</w:t>
            </w:r>
          </w:p>
        </w:tc>
        <w:tc>
          <w:tcPr>
            <w:tcW w:w="0" w:type="auto"/>
            <w:vAlign w:val="center"/>
            <w:hideMark/>
          </w:tcPr>
          <w:p w14:paraId="06896B8E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Ricalcolare le prossime scadenze a partire dall’entrata in vigore, secondo quanto chiarito.</w:t>
            </w:r>
          </w:p>
        </w:tc>
        <w:tc>
          <w:tcPr>
            <w:tcW w:w="0" w:type="auto"/>
            <w:vAlign w:val="center"/>
            <w:hideMark/>
          </w:tcPr>
          <w:p w14:paraId="60EFDC4F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Variabile caso per caso</w:t>
            </w:r>
          </w:p>
        </w:tc>
      </w:tr>
      <w:tr w:rsidR="00681EED" w:rsidRPr="00681EED" w14:paraId="2DF1D606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54FC27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 – e-learning</w:t>
            </w:r>
          </w:p>
        </w:tc>
        <w:tc>
          <w:tcPr>
            <w:tcW w:w="0" w:type="auto"/>
            <w:vAlign w:val="center"/>
            <w:hideMark/>
          </w:tcPr>
          <w:p w14:paraId="7B5A6411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L’e-learning è escluso; ammesse presenza fisica e VCS per la parte teorica.</w:t>
            </w:r>
          </w:p>
        </w:tc>
        <w:tc>
          <w:tcPr>
            <w:tcW w:w="0" w:type="auto"/>
            <w:vAlign w:val="center"/>
            <w:hideMark/>
          </w:tcPr>
          <w:p w14:paraId="55BDE2C6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Confermata linea restrittiva sulla formazione del preposto.</w:t>
            </w:r>
          </w:p>
        </w:tc>
        <w:tc>
          <w:tcPr>
            <w:tcW w:w="0" w:type="auto"/>
            <w:vAlign w:val="center"/>
            <w:hideMark/>
          </w:tcPr>
          <w:p w14:paraId="70B1B6D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Bloccare eventuali corsi e-learning per preposti.</w:t>
            </w:r>
          </w:p>
        </w:tc>
        <w:tc>
          <w:tcPr>
            <w:tcW w:w="0" w:type="auto"/>
            <w:vAlign w:val="center"/>
            <w:hideMark/>
          </w:tcPr>
          <w:p w14:paraId="6CC07267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215FB445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C80B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Lingua veicolare – obbligo</w:t>
            </w:r>
          </w:p>
        </w:tc>
        <w:tc>
          <w:tcPr>
            <w:tcW w:w="0" w:type="auto"/>
            <w:vAlign w:val="center"/>
            <w:hideMark/>
          </w:tcPr>
          <w:p w14:paraId="41D2D2D5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comprensione della lingua veicolare va verificata.</w:t>
            </w:r>
          </w:p>
        </w:tc>
        <w:tc>
          <w:tcPr>
            <w:tcW w:w="0" w:type="auto"/>
            <w:vAlign w:val="center"/>
            <w:hideMark/>
          </w:tcPr>
          <w:p w14:paraId="4FEF13DD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qualità formativa è collegata anche all’effettiva comprensione linguistica.</w:t>
            </w:r>
          </w:p>
        </w:tc>
        <w:tc>
          <w:tcPr>
            <w:tcW w:w="0" w:type="auto"/>
            <w:vAlign w:val="center"/>
            <w:hideMark/>
          </w:tcPr>
          <w:p w14:paraId="21D9E100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Prevedere test iniziali, mediazione linguistica o traduzione quando necessario.</w:t>
            </w:r>
          </w:p>
        </w:tc>
        <w:tc>
          <w:tcPr>
            <w:tcW w:w="0" w:type="auto"/>
            <w:vAlign w:val="center"/>
            <w:hideMark/>
          </w:tcPr>
          <w:p w14:paraId="3E997D10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5F858891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936C4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Lingua veicolare – soggetto responsabile</w:t>
            </w:r>
          </w:p>
        </w:tc>
        <w:tc>
          <w:tcPr>
            <w:tcW w:w="0" w:type="auto"/>
            <w:vAlign w:val="center"/>
            <w:hideMark/>
          </w:tcPr>
          <w:p w14:paraId="05AE600D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L’obbligo grava sul datore di lavoro, anche se il formatore concorre nell’analisi del fabbisogno.</w:t>
            </w:r>
          </w:p>
        </w:tc>
        <w:tc>
          <w:tcPr>
            <w:tcW w:w="0" w:type="auto"/>
            <w:vAlign w:val="center"/>
            <w:hideMark/>
          </w:tcPr>
          <w:p w14:paraId="0DA78E4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Chiarita la responsabilità principale aziendale.</w:t>
            </w:r>
          </w:p>
        </w:tc>
        <w:tc>
          <w:tcPr>
            <w:tcW w:w="0" w:type="auto"/>
            <w:vAlign w:val="center"/>
            <w:hideMark/>
          </w:tcPr>
          <w:p w14:paraId="700A963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Formalizzare in procedura come si verifica la comprensione linguistica.</w:t>
            </w:r>
          </w:p>
        </w:tc>
        <w:tc>
          <w:tcPr>
            <w:tcW w:w="0" w:type="auto"/>
            <w:vAlign w:val="center"/>
            <w:hideMark/>
          </w:tcPr>
          <w:p w14:paraId="61323E1B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31DC06F3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51F0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Modulo aggiuntivo cantieri – obbligati</w:t>
            </w:r>
          </w:p>
        </w:tc>
        <w:tc>
          <w:tcPr>
            <w:tcW w:w="0" w:type="auto"/>
            <w:vAlign w:val="center"/>
            <w:hideMark/>
          </w:tcPr>
          <w:p w14:paraId="2B154A02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Riguarda datore di lavoro e dirigente dell’impresa affidataria.</w:t>
            </w:r>
          </w:p>
        </w:tc>
        <w:tc>
          <w:tcPr>
            <w:tcW w:w="0" w:type="auto"/>
            <w:vAlign w:val="center"/>
            <w:hideMark/>
          </w:tcPr>
          <w:p w14:paraId="6AC4F41C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è un modulo generalizzato per tutte le figure del cantiere.</w:t>
            </w:r>
          </w:p>
        </w:tc>
        <w:tc>
          <w:tcPr>
            <w:tcW w:w="0" w:type="auto"/>
            <w:vAlign w:val="center"/>
            <w:hideMark/>
          </w:tcPr>
          <w:p w14:paraId="20D5B7A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ruolo effettivo dell’impresa e delle figure aziendali.</w:t>
            </w:r>
          </w:p>
        </w:tc>
        <w:tc>
          <w:tcPr>
            <w:tcW w:w="0" w:type="auto"/>
            <w:vAlign w:val="center"/>
            <w:hideMark/>
          </w:tcPr>
          <w:p w14:paraId="41F367A5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6F0F3A9C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3623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Modulo cantieri – transitorio</w:t>
            </w:r>
          </w:p>
        </w:tc>
        <w:tc>
          <w:tcPr>
            <w:tcW w:w="0" w:type="auto"/>
            <w:vAlign w:val="center"/>
            <w:hideMark/>
          </w:tcPr>
          <w:p w14:paraId="59DC55FC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Nel periodo transitorio resta comunque l’obbligo di formazione adeguata; dopo 24 mesi il percorso dovrà essere conforme ai contenuti dell’Accordo ai fini dell’adeguatezza.</w:t>
            </w:r>
          </w:p>
        </w:tc>
        <w:tc>
          <w:tcPr>
            <w:tcW w:w="0" w:type="auto"/>
            <w:vAlign w:val="center"/>
            <w:hideMark/>
          </w:tcPr>
          <w:p w14:paraId="74DB9B9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Anche prima della piena stabilizzazione non c’è vuoto formativo.</w:t>
            </w:r>
          </w:p>
        </w:tc>
        <w:tc>
          <w:tcPr>
            <w:tcW w:w="0" w:type="auto"/>
            <w:vAlign w:val="center"/>
            <w:hideMark/>
          </w:tcPr>
          <w:p w14:paraId="27ED7B34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Garantire subito adeguatezza e programmare allineamento completo entro il termine.</w:t>
            </w:r>
          </w:p>
        </w:tc>
        <w:tc>
          <w:tcPr>
            <w:tcW w:w="0" w:type="auto"/>
            <w:vAlign w:val="center"/>
            <w:hideMark/>
          </w:tcPr>
          <w:p w14:paraId="5C9C30F6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Entro 24 mesi dall’entrata in vigore</w:t>
            </w:r>
          </w:p>
        </w:tc>
      </w:tr>
      <w:tr w:rsidR="00681EED" w:rsidRPr="00681EED" w14:paraId="7B540BAA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486C6E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Fascicolo corso – elenco docenti</w:t>
            </w:r>
          </w:p>
        </w:tc>
        <w:tc>
          <w:tcPr>
            <w:tcW w:w="0" w:type="auto"/>
            <w:vAlign w:val="center"/>
            <w:hideMark/>
          </w:tcPr>
          <w:p w14:paraId="1374983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L’elenco docenti firmato è una sezione autonoma del fascicolo.</w:t>
            </w:r>
          </w:p>
        </w:tc>
        <w:tc>
          <w:tcPr>
            <w:tcW w:w="0" w:type="auto"/>
            <w:vAlign w:val="center"/>
            <w:hideMark/>
          </w:tcPr>
          <w:p w14:paraId="7B016C05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basta far firmare genericamente altri documenti.</w:t>
            </w:r>
          </w:p>
        </w:tc>
        <w:tc>
          <w:tcPr>
            <w:tcW w:w="0" w:type="auto"/>
            <w:vAlign w:val="center"/>
            <w:hideMark/>
          </w:tcPr>
          <w:p w14:paraId="0099F26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Predisporre fascicolo completo con sezione docenti dedicata.</w:t>
            </w:r>
          </w:p>
        </w:tc>
        <w:tc>
          <w:tcPr>
            <w:tcW w:w="0" w:type="auto"/>
            <w:vAlign w:val="center"/>
            <w:hideMark/>
          </w:tcPr>
          <w:p w14:paraId="2CF62E1E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0422A391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06B22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Fascicolo corso – luogo conservazione</w:t>
            </w:r>
          </w:p>
        </w:tc>
        <w:tc>
          <w:tcPr>
            <w:tcW w:w="0" w:type="auto"/>
            <w:vAlign w:val="center"/>
            <w:hideMark/>
          </w:tcPr>
          <w:p w14:paraId="422AEF03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 conservato presso il soggetto formatore individuato per il corso, per almeno 10 anni.</w:t>
            </w:r>
          </w:p>
        </w:tc>
        <w:tc>
          <w:tcPr>
            <w:tcW w:w="0" w:type="auto"/>
            <w:vAlign w:val="center"/>
            <w:hideMark/>
          </w:tcPr>
          <w:p w14:paraId="04202301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sede della conservazione dipende da chi è il soggetto formatore.</w:t>
            </w:r>
          </w:p>
        </w:tc>
        <w:tc>
          <w:tcPr>
            <w:tcW w:w="0" w:type="auto"/>
            <w:vAlign w:val="center"/>
            <w:hideMark/>
          </w:tcPr>
          <w:p w14:paraId="5FEB99D4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per ogni corso chi è il soggetto formatore e archiviare coerentemente.</w:t>
            </w:r>
          </w:p>
        </w:tc>
        <w:tc>
          <w:tcPr>
            <w:tcW w:w="0" w:type="auto"/>
            <w:vAlign w:val="center"/>
            <w:hideMark/>
          </w:tcPr>
          <w:p w14:paraId="6C794A41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Conservazione minima 10 anni</w:t>
            </w:r>
          </w:p>
        </w:tc>
      </w:tr>
      <w:tr w:rsidR="00681EED" w:rsidRPr="00681EED" w14:paraId="1CD07A79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9A035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Periodo transitorio – vecchie regole</w:t>
            </w:r>
          </w:p>
        </w:tc>
        <w:tc>
          <w:tcPr>
            <w:tcW w:w="0" w:type="auto"/>
            <w:vAlign w:val="center"/>
            <w:hideMark/>
          </w:tcPr>
          <w:p w14:paraId="00B3E361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i corsi avviati nel transitorio continuano a valere le regole precedenti, salvo eccezioni sulle nuove attrezzature.</w:t>
            </w:r>
          </w:p>
        </w:tc>
        <w:tc>
          <w:tcPr>
            <w:tcW w:w="0" w:type="auto"/>
            <w:vAlign w:val="center"/>
            <w:hideMark/>
          </w:tcPr>
          <w:p w14:paraId="1026B6B7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Convivenza temporanea tra vecchio e nuovo regime.</w:t>
            </w:r>
          </w:p>
        </w:tc>
        <w:tc>
          <w:tcPr>
            <w:tcW w:w="0" w:type="auto"/>
            <w:vAlign w:val="center"/>
            <w:hideMark/>
          </w:tcPr>
          <w:p w14:paraId="383C3FF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Distinguere i corsi per data di avvio e per tipologia.</w:t>
            </w:r>
          </w:p>
        </w:tc>
        <w:tc>
          <w:tcPr>
            <w:tcW w:w="0" w:type="auto"/>
            <w:vAlign w:val="center"/>
            <w:hideMark/>
          </w:tcPr>
          <w:p w14:paraId="7A6F59AF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al 19/05/2026</w:t>
            </w:r>
          </w:p>
        </w:tc>
      </w:tr>
      <w:tr w:rsidR="00681EED" w:rsidRPr="00681EED" w14:paraId="669E3FE5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73D04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Periodo transitorio – soggetti formatori</w:t>
            </w:r>
          </w:p>
        </w:tc>
        <w:tc>
          <w:tcPr>
            <w:tcW w:w="0" w:type="auto"/>
            <w:vAlign w:val="center"/>
            <w:hideMark/>
          </w:tcPr>
          <w:p w14:paraId="1BEC79C1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transitorio vale anche per i soggetti formatori.</w:t>
            </w:r>
          </w:p>
        </w:tc>
        <w:tc>
          <w:tcPr>
            <w:tcW w:w="0" w:type="auto"/>
            <w:vAlign w:val="center"/>
            <w:hideMark/>
          </w:tcPr>
          <w:p w14:paraId="5A07968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caratteristiche soggettive possono ancora seguire i previgenti Accordi per i corsi avviati nel periodo.</w:t>
            </w:r>
          </w:p>
        </w:tc>
        <w:tc>
          <w:tcPr>
            <w:tcW w:w="0" w:type="auto"/>
            <w:vAlign w:val="center"/>
            <w:hideMark/>
          </w:tcPr>
          <w:p w14:paraId="7026F32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Documentare bene la data di avvio del corso e il regime applicato.</w:t>
            </w:r>
          </w:p>
        </w:tc>
        <w:tc>
          <w:tcPr>
            <w:tcW w:w="0" w:type="auto"/>
            <w:vAlign w:val="center"/>
            <w:hideMark/>
          </w:tcPr>
          <w:p w14:paraId="214B7398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al 19/05/2026</w:t>
            </w:r>
          </w:p>
        </w:tc>
      </w:tr>
      <w:tr w:rsidR="00681EED" w:rsidRPr="00681EED" w14:paraId="36300EEC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61E70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Requisiti docenti nei seminari/convegni</w:t>
            </w:r>
          </w:p>
        </w:tc>
        <w:tc>
          <w:tcPr>
            <w:tcW w:w="0" w:type="auto"/>
            <w:vAlign w:val="center"/>
            <w:hideMark/>
          </w:tcPr>
          <w:p w14:paraId="65CA9E41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requisiti del D.I. 6 marzo 2013 non si applicano automaticamente ai relatori dei seminari/convegni.</w:t>
            </w:r>
          </w:p>
        </w:tc>
        <w:tc>
          <w:tcPr>
            <w:tcW w:w="0" w:type="auto"/>
            <w:vAlign w:val="center"/>
            <w:hideMark/>
          </w:tcPr>
          <w:p w14:paraId="29260F36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Distinzione tra corso e seminario aggiornante.</w:t>
            </w:r>
          </w:p>
        </w:tc>
        <w:tc>
          <w:tcPr>
            <w:tcW w:w="0" w:type="auto"/>
            <w:vAlign w:val="center"/>
            <w:hideMark/>
          </w:tcPr>
          <w:p w14:paraId="34225E2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però sempre la presenza della verifica finale di apprendimento.</w:t>
            </w:r>
          </w:p>
        </w:tc>
        <w:tc>
          <w:tcPr>
            <w:tcW w:w="0" w:type="auto"/>
            <w:vAlign w:val="center"/>
            <w:hideMark/>
          </w:tcPr>
          <w:p w14:paraId="2583390B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58EC9331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948D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Tutor in aula</w:t>
            </w:r>
          </w:p>
        </w:tc>
        <w:tc>
          <w:tcPr>
            <w:tcW w:w="0" w:type="auto"/>
            <w:vAlign w:val="center"/>
            <w:hideMark/>
          </w:tcPr>
          <w:p w14:paraId="1B2CBA3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Sempre previsto nella formazione a distanza; in presenza è consigliato oltre 10 discenti.</w:t>
            </w:r>
          </w:p>
        </w:tc>
        <w:tc>
          <w:tcPr>
            <w:tcW w:w="0" w:type="auto"/>
            <w:vAlign w:val="center"/>
            <w:hideMark/>
          </w:tcPr>
          <w:p w14:paraId="1DF0ED42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sua presenza non è sempre obbligatoria in aula fisica, ma resta fortemente raccomandata.</w:t>
            </w:r>
          </w:p>
        </w:tc>
        <w:tc>
          <w:tcPr>
            <w:tcW w:w="0" w:type="auto"/>
            <w:vAlign w:val="center"/>
            <w:hideMark/>
          </w:tcPr>
          <w:p w14:paraId="3ECABA91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quando nominarlo formalmente e con quali compiti.</w:t>
            </w:r>
          </w:p>
        </w:tc>
        <w:tc>
          <w:tcPr>
            <w:tcW w:w="0" w:type="auto"/>
            <w:vAlign w:val="center"/>
            <w:hideMark/>
          </w:tcPr>
          <w:p w14:paraId="0264325C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209BF23D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7993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Tutor e docente coincidono?</w:t>
            </w:r>
          </w:p>
        </w:tc>
        <w:tc>
          <w:tcPr>
            <w:tcW w:w="0" w:type="auto"/>
            <w:vAlign w:val="center"/>
            <w:hideMark/>
          </w:tcPr>
          <w:p w14:paraId="181EB33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6CCE410F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 mantenuta distinzione funzionale dei ruoli.</w:t>
            </w:r>
          </w:p>
        </w:tc>
        <w:tc>
          <w:tcPr>
            <w:tcW w:w="0" w:type="auto"/>
            <w:vAlign w:val="center"/>
            <w:hideMark/>
          </w:tcPr>
          <w:p w14:paraId="3FA2D4DC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Evitare incarichi cumulativi tutor-docente nello stesso corso.</w:t>
            </w:r>
          </w:p>
        </w:tc>
        <w:tc>
          <w:tcPr>
            <w:tcW w:w="0" w:type="auto"/>
            <w:vAlign w:val="center"/>
            <w:hideMark/>
          </w:tcPr>
          <w:p w14:paraId="64CCD1DD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204C2D4B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8D7A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Tutor dipendente dell’azienda ospitante</w:t>
            </w:r>
          </w:p>
        </w:tc>
        <w:tc>
          <w:tcPr>
            <w:tcW w:w="0" w:type="auto"/>
            <w:vAlign w:val="center"/>
            <w:hideMark/>
          </w:tcPr>
          <w:p w14:paraId="7D6675DD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Sì, è possibile.</w:t>
            </w:r>
          </w:p>
        </w:tc>
        <w:tc>
          <w:tcPr>
            <w:tcW w:w="0" w:type="auto"/>
            <w:vAlign w:val="center"/>
            <w:hideMark/>
          </w:tcPr>
          <w:p w14:paraId="5EC488B5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conta il contratto, conta il ruolo effettivamente svolto.</w:t>
            </w:r>
          </w:p>
        </w:tc>
        <w:tc>
          <w:tcPr>
            <w:tcW w:w="0" w:type="auto"/>
            <w:vAlign w:val="center"/>
            <w:hideMark/>
          </w:tcPr>
          <w:p w14:paraId="34BD7779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Formalizzare incarico e compiti del tutor anche se interno all’azienda ospitante.</w:t>
            </w:r>
          </w:p>
        </w:tc>
        <w:tc>
          <w:tcPr>
            <w:tcW w:w="0" w:type="auto"/>
            <w:vAlign w:val="center"/>
            <w:hideMark/>
          </w:tcPr>
          <w:p w14:paraId="639D3020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034B81FD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25EC7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finale sempre obbligatoria</w:t>
            </w:r>
          </w:p>
        </w:tc>
        <w:tc>
          <w:tcPr>
            <w:tcW w:w="0" w:type="auto"/>
            <w:vAlign w:val="center"/>
            <w:hideMark/>
          </w:tcPr>
          <w:p w14:paraId="2FAACB8A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Anche se la tabella non indica la modalità per uno specifico aggiornamento, la verifica finale resta obbligatoria.</w:t>
            </w:r>
          </w:p>
        </w:tc>
        <w:tc>
          <w:tcPr>
            <w:tcW w:w="0" w:type="auto"/>
            <w:vAlign w:val="center"/>
            <w:hideMark/>
          </w:tcPr>
          <w:p w14:paraId="464F3F67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 corso o aggiornamento senza prova finale e verbale.</w:t>
            </w:r>
          </w:p>
        </w:tc>
        <w:tc>
          <w:tcPr>
            <w:tcW w:w="0" w:type="auto"/>
            <w:vAlign w:val="center"/>
            <w:hideMark/>
          </w:tcPr>
          <w:p w14:paraId="69403D30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modalità di verifica, verbalizzare e archiviare.</w:t>
            </w:r>
          </w:p>
        </w:tc>
        <w:tc>
          <w:tcPr>
            <w:tcW w:w="0" w:type="auto"/>
            <w:vAlign w:val="center"/>
            <w:hideMark/>
          </w:tcPr>
          <w:p w14:paraId="6078546B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  <w:tr w:rsidR="00681EED" w:rsidRPr="00681EED" w14:paraId="3AE64021" w14:textId="77777777" w:rsidTr="00681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C676B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Test lavoratori – 30 domande</w:t>
            </w:r>
          </w:p>
        </w:tc>
        <w:tc>
          <w:tcPr>
            <w:tcW w:w="0" w:type="auto"/>
            <w:vAlign w:val="center"/>
            <w:hideMark/>
          </w:tcPr>
          <w:p w14:paraId="12C51FFB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30 domande minime si riferiscono all’intero corso, non a ciascun modulo separatamente.</w:t>
            </w:r>
          </w:p>
        </w:tc>
        <w:tc>
          <w:tcPr>
            <w:tcW w:w="0" w:type="auto"/>
            <w:vAlign w:val="center"/>
            <w:hideMark/>
          </w:tcPr>
          <w:p w14:paraId="2F688DF6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Lettura unitaria del percorso formativo.</w:t>
            </w:r>
          </w:p>
        </w:tc>
        <w:tc>
          <w:tcPr>
            <w:tcW w:w="0" w:type="auto"/>
            <w:vAlign w:val="center"/>
            <w:hideMark/>
          </w:tcPr>
          <w:p w14:paraId="591AE7E8" w14:textId="77777777" w:rsidR="00681EED" w:rsidRPr="00681EED" w:rsidRDefault="00681EED" w:rsidP="00681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Progettare il test finale sul corso complessivo.</w:t>
            </w:r>
          </w:p>
        </w:tc>
        <w:tc>
          <w:tcPr>
            <w:tcW w:w="0" w:type="auto"/>
            <w:vAlign w:val="center"/>
            <w:hideMark/>
          </w:tcPr>
          <w:p w14:paraId="783F993A" w14:textId="77777777" w:rsidR="00681EED" w:rsidRPr="00681EED" w:rsidRDefault="00681EED" w:rsidP="00681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81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Immediata</w:t>
            </w:r>
          </w:p>
        </w:tc>
      </w:tr>
    </w:tbl>
    <w:p w14:paraId="320FA547" w14:textId="77777777" w:rsidR="00681EED" w:rsidRDefault="00681EED"/>
    <w:sectPr w:rsidR="00681EED" w:rsidSect="00681EE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1EED"/>
    <w:rsid w:val="00064D34"/>
    <w:rsid w:val="00336AF8"/>
    <w:rsid w:val="00681EED"/>
    <w:rsid w:val="007E15F6"/>
    <w:rsid w:val="00954F73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F65F5"/>
  <w15:chartTrackingRefBased/>
  <w15:docId w15:val="{B49C61C8-8FE9-44E7-BED4-7E34CFD7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81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1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1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1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1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1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1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1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1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1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1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1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1EE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1EE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1E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1E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1E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1E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1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1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1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1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1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1E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1E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1EE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1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1EE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1E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1824</Words>
  <Characters>10403</Characters>
  <Application>Microsoft Office Word</Application>
  <DocSecurity>0</DocSecurity>
  <Lines>86</Lines>
  <Paragraphs>24</Paragraphs>
  <ScaleCrop>false</ScaleCrop>
  <Company/>
  <LinksUpToDate>false</LinksUpToDate>
  <CharactersWithSpaces>12203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2026-04-01T16:49:00Z</dcterms:created>
  <dcterms:modified xsi:type="dcterms:W3CDTF">2026-04-01T16:49:00Z</dcterms:modified>
</cp:coreProperties>
</file>