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42C0F" w14:textId="77777777" w:rsidR="006A7F6D" w:rsidRDefault="00000000">
      <w:pPr>
        <w:pStyle w:val="Kicker"/>
      </w:pPr>
      <w:r>
        <w:rPr>
          <w:b/>
        </w:rPr>
        <w:t>COMITATO EUROPEO PER LA PROTEZIONE DEI DATI</w:t>
      </w:r>
    </w:p>
    <w:p w14:paraId="00FAFEBD" w14:textId="77777777" w:rsidR="006A7F6D" w:rsidRDefault="00000000">
      <w:pPr>
        <w:pStyle w:val="Small"/>
      </w:pPr>
      <w:r>
        <w:t>DOCUMENTO ORIGINALE EDPB  •  EDIZIONE ITALIANA</w:t>
      </w:r>
    </w:p>
    <w:p w14:paraId="380B507C" w14:textId="77777777" w:rsidR="006A7F6D" w:rsidRDefault="00000000">
      <w:pPr>
        <w:pStyle w:val="Titolo"/>
        <w:spacing w:before="1240" w:after="240"/>
      </w:pPr>
      <w:r>
        <w:rPr>
          <w:rFonts w:ascii="Calibri" w:hAnsi="Calibri"/>
        </w:rPr>
        <w:t>DPIA</w:t>
      </w:r>
    </w:p>
    <w:p w14:paraId="251B64E4" w14:textId="77777777" w:rsidR="006A7F6D" w:rsidRDefault="00000000">
      <w:pPr>
        <w:pStyle w:val="Sottotitolo"/>
        <w:rPr>
          <w:rFonts w:ascii="Calibri" w:hAnsi="Calibri"/>
        </w:rPr>
      </w:pPr>
      <w:r>
        <w:rPr>
          <w:rFonts w:ascii="Calibri" w:hAnsi="Calibri"/>
        </w:rPr>
        <w:t>Valutazione d’impatto</w:t>
      </w:r>
      <w:r>
        <w:rPr>
          <w:rFonts w:ascii="Calibri" w:hAnsi="Calibri"/>
        </w:rPr>
        <w:br/>
        <w:t>sulla protezione dei dati</w:t>
      </w:r>
    </w:p>
    <w:p w14:paraId="5DC6310F" w14:textId="31D3B6DF" w:rsidR="00FD57A3" w:rsidRPr="00FD57A3" w:rsidRDefault="00FD57A3" w:rsidP="00FD57A3">
      <w:r>
        <w:rPr>
          <w:noProof/>
        </w:rPr>
        <w:drawing>
          <wp:inline distT="0" distB="0" distL="0" distR="0" wp14:anchorId="221B5631" wp14:editId="55878B50">
            <wp:extent cx="6264910" cy="4176395"/>
            <wp:effectExtent l="0" t="0" r="2540" b="0"/>
            <wp:docPr id="14659771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77187" name="Immagine 1465977187"/>
                    <pic:cNvPicPr/>
                  </pic:nvPicPr>
                  <pic:blipFill>
                    <a:blip r:embed="rId8"/>
                    <a:stretch>
                      <a:fillRect/>
                    </a:stretch>
                  </pic:blipFill>
                  <pic:spPr>
                    <a:xfrm>
                      <a:off x="0" y="0"/>
                      <a:ext cx="6264910" cy="4176395"/>
                    </a:xfrm>
                    <a:prstGeom prst="rect">
                      <a:avLst/>
                    </a:prstGeom>
                  </pic:spPr>
                </pic:pic>
              </a:graphicData>
            </a:graphic>
          </wp:inline>
        </w:drawing>
      </w:r>
    </w:p>
    <w:p w14:paraId="26FA347B" w14:textId="77777777" w:rsidR="006A7F6D" w:rsidRDefault="00000000">
      <w:pPr>
        <w:pStyle w:val="Titolo1"/>
        <w:spacing w:before="560" w:after="160"/>
      </w:pPr>
      <w:r>
        <w:rPr>
          <w:rFonts w:ascii="Calibri" w:hAnsi="Calibri"/>
        </w:rPr>
        <w:t>Modello [2026] — Guida esplicativa</w:t>
      </w:r>
    </w:p>
    <w:p w14:paraId="67BC0841" w14:textId="77777777" w:rsidR="006A7F6D" w:rsidRDefault="00000000">
      <w:r>
        <w:rPr>
          <w:color w:val="526373"/>
          <w:sz w:val="24"/>
        </w:rPr>
        <w:t>Traduzione del documento «Explainer»</w:t>
      </w:r>
    </w:p>
    <w:p w14:paraId="3395A0F2" w14:textId="77777777" w:rsidR="006A7F6D" w:rsidRDefault="00000000">
      <w:pPr>
        <w:pStyle w:val="Kicker"/>
        <w:spacing w:before="560"/>
      </w:pPr>
      <w:r>
        <w:rPr>
          <w:b/>
        </w:rPr>
        <w:t>VERSIONE ORIGINALE 1.0</w:t>
      </w:r>
    </w:p>
    <w:p w14:paraId="0E4C3D02" w14:textId="77777777" w:rsidR="006A7F6D" w:rsidRDefault="00000000">
      <w:r>
        <w:rPr>
          <w:sz w:val="22"/>
        </w:rPr>
        <w:t>Adottata il 10 marzo 2026 per consultazione pubblica.</w:t>
      </w:r>
    </w:p>
    <w:p w14:paraId="1DCD2815" w14:textId="77777777" w:rsidR="006A7F6D" w:rsidRDefault="00000000">
      <w:pPr>
        <w:pStyle w:val="Kicker"/>
        <w:spacing w:before="600"/>
      </w:pPr>
      <w:r>
        <w:rPr>
          <w:b/>
        </w:rPr>
        <w:t>TRADUZIONE ITALIANA NON UFFICIALE</w:t>
      </w:r>
    </w:p>
    <w:p w14:paraId="67C2F692" w14:textId="135FF56F" w:rsidR="006A7F6D" w:rsidRDefault="00000000" w:rsidP="00FD57A3">
      <w:pPr>
        <w:pStyle w:val="Small"/>
      </w:pPr>
      <w:r>
        <w:t>Traduzione integrale del documento fornito.</w:t>
      </w:r>
      <w:r>
        <w:br/>
        <w:t>Impaginazione editoriale autonoma; nessuna approvazione o validazione EDPB della presente traduzione.</w:t>
      </w:r>
      <w:r>
        <w:br w:type="page"/>
      </w:r>
      <w:r>
        <w:lastRenderedPageBreak/>
        <w:t>Informazioni sull’edizione</w:t>
      </w:r>
    </w:p>
    <w:p w14:paraId="3D7A3FB1" w14:textId="77777777" w:rsidR="006A7F6D" w:rsidRDefault="00000000">
      <w:pPr>
        <w:pStyle w:val="Titolo2"/>
      </w:pPr>
      <w:r>
        <w:rPr>
          <w:rFonts w:ascii="Calibri" w:hAnsi="Calibri"/>
        </w:rPr>
        <w:t>Avvertenza sulla traduzione</w:t>
      </w:r>
    </w:p>
    <w:p w14:paraId="15EA3E6C" w14:textId="77777777" w:rsidR="006A7F6D" w:rsidRDefault="00000000">
      <w:r>
        <w:t>La presente edizione è una traduzione italiana non ufficiale del documento EDPB indicato sotto. Non costituisce una versione italiana pubblicata, approvata o validata dal Comitato europeo per la protezione dei dati. Per interpretazioni, citazioni o applicazioni professionali fa fede il documento originale in lingua inglese.</w:t>
      </w:r>
    </w:p>
    <w:p w14:paraId="566975E5" w14:textId="77777777" w:rsidR="006A7F6D" w:rsidRDefault="00000000">
      <w:r>
        <w:t>La traduzione riproduce il contenuto della versione 1.0 adottata il 10 marzo 2026 per consultazione pubblica. Non attesta che tale versione sia definitiva o rappresenti la versione più recente disponibile. Non sono stati introdotti aggiornamenti normativi, integrazioni tecniche o interpretazioni estranee al testo di partenza.</w:t>
      </w:r>
    </w:p>
    <w:p w14:paraId="26DCC908" w14:textId="77777777" w:rsidR="006A7F6D" w:rsidRDefault="00000000">
      <w:r>
        <w:t>Le denominazioni delle sezioni, la numerazione, le tabelle, le opzioni e i riferimenti sono mantenuti. La paginazione è propria di questa edizione. I collegamenti riproducono gli indirizzi presenti nei documenti originali e non ne attestano la disponibilità o l’aggiornamento.</w:t>
      </w:r>
    </w:p>
    <w:p w14:paraId="7F18EE87" w14:textId="77777777" w:rsidR="006A7F6D" w:rsidRDefault="00000000">
      <w:r>
        <w:t>Sono conservati i rinvii e le formulazioni del testo di partenza, anche quando presentano incoerenze: l’introduzione richiama un «Allegato A», mentre l’allegato è intitolato «Allegato 1»; il paragrafo 43, nella sezione sul rischio residuo, richiama la valutazione del rischio inerente. I titoli dei riferimenti bibliografici sono tradotti senza modificarne il contenuto o completare formulazioni eventualmente incomplete nell’originale. Le celle prive di collegamenti nell’allegato restano vuote.</w:t>
      </w:r>
    </w:p>
    <w:p w14:paraId="7A839AD7" w14:textId="77777777" w:rsidR="006A7F6D" w:rsidRDefault="00000000">
      <w:r>
        <w:t>Questa pagina e le indicazioni grafiche di compilazione sono aggiunte editoriali, distinte dal testo tradotto. Il documento ha finalità informative e operative e non sostituisce la valutazione del singolo trattamento né un parere professionale o legale.</w:t>
      </w:r>
    </w:p>
    <w:p w14:paraId="25D8163B" w14:textId="77777777" w:rsidR="006A7F6D" w:rsidRDefault="00000000">
      <w:pPr>
        <w:pStyle w:val="Titolo2"/>
      </w:pPr>
      <w:r>
        <w:rPr>
          <w:rFonts w:ascii="Calibri" w:hAnsi="Calibri"/>
        </w:rPr>
        <w:t>Documento di origine</w:t>
      </w:r>
    </w:p>
    <w:p w14:paraId="6DD98D1A" w14:textId="77777777" w:rsidR="006A7F6D" w:rsidRDefault="00000000">
      <w:pPr>
        <w:pStyle w:val="Small"/>
      </w:pPr>
      <w:r>
        <w:t>EDPB, Template [2026] for Data Protection Impact Assessment (’DPIA’) — Explainer, Version 1.0, adopted on 10 March 2026.</w:t>
      </w:r>
      <w:r>
        <w:br/>
        <w:t>File fornito: edpb_dpia_template_explainer_2026_v1_en.pdf.</w:t>
      </w:r>
    </w:p>
    <w:p w14:paraId="4E071D13" w14:textId="77777777" w:rsidR="006A7F6D" w:rsidRDefault="00000000">
      <w:pPr>
        <w:pStyle w:val="Titolo2"/>
      </w:pPr>
      <w:r>
        <w:rPr>
          <w:rFonts w:ascii="Calibri" w:hAnsi="Calibri"/>
        </w:rPr>
        <w:t>Cronologia delle versioni</w:t>
      </w:r>
    </w:p>
    <w:tbl>
      <w:tblPr>
        <w:tblW w:w="9865"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1304"/>
        <w:gridCol w:w="1928"/>
        <w:gridCol w:w="6633"/>
      </w:tblGrid>
      <w:tr w:rsidR="006A7F6D" w14:paraId="64A02AE1" w14:textId="77777777">
        <w:trPr>
          <w:tblHeader/>
          <w:jc w:val="center"/>
        </w:trPr>
        <w:tc>
          <w:tcPr>
            <w:tcW w:w="1304" w:type="dxa"/>
            <w:shd w:val="clear" w:color="auto" w:fill="17324D"/>
            <w:tcMar>
              <w:top w:w="110" w:type="dxa"/>
              <w:left w:w="110" w:type="dxa"/>
              <w:bottom w:w="110" w:type="dxa"/>
              <w:right w:w="110" w:type="dxa"/>
            </w:tcMar>
          </w:tcPr>
          <w:p w14:paraId="01F33AD9" w14:textId="77777777" w:rsidR="006A7F6D" w:rsidRDefault="00000000">
            <w:pPr>
              <w:pStyle w:val="TableHeader"/>
            </w:pPr>
            <w:r>
              <w:t>Versione</w:t>
            </w:r>
          </w:p>
        </w:tc>
        <w:tc>
          <w:tcPr>
            <w:tcW w:w="1928" w:type="dxa"/>
            <w:shd w:val="clear" w:color="auto" w:fill="17324D"/>
            <w:tcMar>
              <w:top w:w="110" w:type="dxa"/>
              <w:left w:w="110" w:type="dxa"/>
              <w:bottom w:w="110" w:type="dxa"/>
              <w:right w:w="110" w:type="dxa"/>
            </w:tcMar>
          </w:tcPr>
          <w:p w14:paraId="6B253B3F" w14:textId="77777777" w:rsidR="006A7F6D" w:rsidRDefault="00000000">
            <w:pPr>
              <w:pStyle w:val="TableHeader"/>
            </w:pPr>
            <w:r>
              <w:t>Data</w:t>
            </w:r>
          </w:p>
        </w:tc>
        <w:tc>
          <w:tcPr>
            <w:tcW w:w="6633" w:type="dxa"/>
            <w:shd w:val="clear" w:color="auto" w:fill="17324D"/>
            <w:tcMar>
              <w:top w:w="110" w:type="dxa"/>
              <w:left w:w="110" w:type="dxa"/>
              <w:bottom w:w="110" w:type="dxa"/>
              <w:right w:w="110" w:type="dxa"/>
            </w:tcMar>
          </w:tcPr>
          <w:p w14:paraId="0E5EC45F" w14:textId="77777777" w:rsidR="006A7F6D" w:rsidRDefault="00000000">
            <w:pPr>
              <w:pStyle w:val="TableHeader"/>
            </w:pPr>
            <w:r>
              <w:t>Informazioni sull’adozione</w:t>
            </w:r>
          </w:p>
        </w:tc>
      </w:tr>
      <w:tr w:rsidR="006A7F6D" w14:paraId="4D7CC124" w14:textId="77777777">
        <w:trPr>
          <w:cantSplit/>
          <w:jc w:val="center"/>
        </w:trPr>
        <w:tc>
          <w:tcPr>
            <w:tcW w:w="1304" w:type="dxa"/>
            <w:tcMar>
              <w:top w:w="90" w:type="dxa"/>
              <w:left w:w="110" w:type="dxa"/>
              <w:bottom w:w="90" w:type="dxa"/>
              <w:right w:w="110" w:type="dxa"/>
            </w:tcMar>
          </w:tcPr>
          <w:p w14:paraId="6F99E6AE" w14:textId="77777777" w:rsidR="006A7F6D" w:rsidRDefault="00000000">
            <w:pPr>
              <w:pStyle w:val="TableBody"/>
            </w:pPr>
            <w:r>
              <w:rPr>
                <w:sz w:val="19"/>
              </w:rPr>
              <w:t>Versione 1.0</w:t>
            </w:r>
          </w:p>
        </w:tc>
        <w:tc>
          <w:tcPr>
            <w:tcW w:w="1928" w:type="dxa"/>
            <w:tcMar>
              <w:top w:w="90" w:type="dxa"/>
              <w:left w:w="110" w:type="dxa"/>
              <w:bottom w:w="90" w:type="dxa"/>
              <w:right w:w="110" w:type="dxa"/>
            </w:tcMar>
          </w:tcPr>
          <w:p w14:paraId="7E33A575" w14:textId="77777777" w:rsidR="006A7F6D" w:rsidRDefault="00000000">
            <w:pPr>
              <w:pStyle w:val="TableBody"/>
            </w:pPr>
            <w:r>
              <w:rPr>
                <w:sz w:val="19"/>
              </w:rPr>
              <w:t>10 marzo 2026</w:t>
            </w:r>
          </w:p>
        </w:tc>
        <w:tc>
          <w:tcPr>
            <w:tcW w:w="6633" w:type="dxa"/>
            <w:tcMar>
              <w:top w:w="90" w:type="dxa"/>
              <w:left w:w="110" w:type="dxa"/>
              <w:bottom w:w="90" w:type="dxa"/>
              <w:right w:w="110" w:type="dxa"/>
            </w:tcMar>
          </w:tcPr>
          <w:p w14:paraId="1E5F6A46" w14:textId="77777777" w:rsidR="006A7F6D" w:rsidRDefault="00000000">
            <w:pPr>
              <w:pStyle w:val="TableBody"/>
            </w:pPr>
            <w:r>
              <w:rPr>
                <w:sz w:val="19"/>
              </w:rPr>
              <w:t>Adozione delle linee guida per consultazione pubblica.</w:t>
            </w:r>
          </w:p>
        </w:tc>
      </w:tr>
    </w:tbl>
    <w:p w14:paraId="460A6762" w14:textId="77777777" w:rsidR="006A7F6D" w:rsidRDefault="006A7F6D">
      <w:pPr>
        <w:pStyle w:val="Small"/>
        <w:spacing w:after="0"/>
      </w:pPr>
    </w:p>
    <w:p w14:paraId="182CE442" w14:textId="77777777" w:rsidR="006A7F6D" w:rsidRDefault="00000000">
      <w:pPr>
        <w:pStyle w:val="Small"/>
      </w:pPr>
      <w:r>
        <w:t>La voce della cronologia è tradotta come riportata nell’originale.</w:t>
      </w:r>
    </w:p>
    <w:p w14:paraId="0D3D80A9" w14:textId="77777777" w:rsidR="006A7F6D" w:rsidRDefault="00000000">
      <w:r>
        <w:br w:type="page"/>
      </w:r>
    </w:p>
    <w:p w14:paraId="0B7D8E37" w14:textId="77777777" w:rsidR="006A7F6D" w:rsidRDefault="00000000">
      <w:pPr>
        <w:pStyle w:val="Titolo1"/>
      </w:pPr>
      <w:r>
        <w:rPr>
          <w:rFonts w:ascii="Calibri" w:hAnsi="Calibri"/>
        </w:rPr>
        <w:t>Indice dei contenuti</w:t>
      </w:r>
    </w:p>
    <w:p w14:paraId="6AC59E02" w14:textId="77777777" w:rsidR="006A7F6D" w:rsidRDefault="00000000">
      <w:pPr>
        <w:pStyle w:val="TOCLine"/>
        <w:tabs>
          <w:tab w:val="right" w:pos="9694"/>
        </w:tabs>
      </w:pPr>
      <w:hyperlink w:anchor="h1">
        <w:r>
          <w:rPr>
            <w:b/>
            <w:color w:val="17324D"/>
          </w:rPr>
          <w:t>Introduzione</w:t>
        </w:r>
      </w:hyperlink>
      <w:r>
        <w:tab/>
      </w:r>
      <w:bookmarkStart w:id="0" w:name="toc_h1"/>
      <w:r>
        <w:fldChar w:fldCharType="begin"/>
      </w:r>
      <w:r>
        <w:instrText>PAGEREF h1 \h</w:instrText>
      </w:r>
      <w:r>
        <w:fldChar w:fldCharType="separate"/>
      </w:r>
      <w:r w:rsidR="00FD57A3">
        <w:rPr>
          <w:noProof/>
        </w:rPr>
        <w:t>1</w:t>
      </w:r>
      <w:r>
        <w:fldChar w:fldCharType="end"/>
      </w:r>
      <w:bookmarkEnd w:id="0"/>
    </w:p>
    <w:p w14:paraId="3A4B9E40" w14:textId="77777777" w:rsidR="006A7F6D" w:rsidRDefault="00000000">
      <w:pPr>
        <w:pStyle w:val="TOCLine"/>
        <w:tabs>
          <w:tab w:val="right" w:pos="9694"/>
        </w:tabs>
      </w:pPr>
      <w:hyperlink w:anchor="h2">
        <w:r>
          <w:rPr>
            <w:b/>
            <w:color w:val="17324D"/>
          </w:rPr>
          <w:t>0  PANORAMICA DEL TRATTAMENTO</w:t>
        </w:r>
      </w:hyperlink>
      <w:r>
        <w:tab/>
      </w:r>
      <w:bookmarkStart w:id="1" w:name="toc_h2"/>
      <w:r>
        <w:fldChar w:fldCharType="begin"/>
      </w:r>
      <w:r>
        <w:instrText>PAGEREF h2 \h</w:instrText>
      </w:r>
      <w:r>
        <w:fldChar w:fldCharType="separate"/>
      </w:r>
      <w:r w:rsidR="00FD57A3">
        <w:rPr>
          <w:noProof/>
        </w:rPr>
        <w:t>1</w:t>
      </w:r>
      <w:r>
        <w:fldChar w:fldCharType="end"/>
      </w:r>
      <w:bookmarkEnd w:id="1"/>
    </w:p>
    <w:p w14:paraId="0202C9E8" w14:textId="77777777" w:rsidR="006A7F6D" w:rsidRDefault="00000000">
      <w:pPr>
        <w:pStyle w:val="TOCLine"/>
        <w:tabs>
          <w:tab w:val="right" w:pos="9694"/>
        </w:tabs>
        <w:ind w:left="159"/>
      </w:pPr>
      <w:hyperlink w:anchor="h3">
        <w:r>
          <w:rPr>
            <w:color w:val="526373"/>
          </w:rPr>
          <w:t>0.1  Titolare/i del trattamento</w:t>
        </w:r>
      </w:hyperlink>
      <w:r>
        <w:tab/>
      </w:r>
      <w:bookmarkStart w:id="2" w:name="toc_h3"/>
      <w:r>
        <w:fldChar w:fldCharType="begin"/>
      </w:r>
      <w:r>
        <w:instrText>PAGEREF h3 \h</w:instrText>
      </w:r>
      <w:r>
        <w:fldChar w:fldCharType="separate"/>
      </w:r>
      <w:r w:rsidR="00FD57A3">
        <w:rPr>
          <w:noProof/>
        </w:rPr>
        <w:t>1</w:t>
      </w:r>
      <w:r>
        <w:fldChar w:fldCharType="end"/>
      </w:r>
      <w:bookmarkEnd w:id="2"/>
    </w:p>
    <w:p w14:paraId="400875CA" w14:textId="77777777" w:rsidR="006A7F6D" w:rsidRDefault="00000000">
      <w:pPr>
        <w:pStyle w:val="TOCLine"/>
        <w:tabs>
          <w:tab w:val="right" w:pos="9694"/>
        </w:tabs>
        <w:ind w:left="159"/>
      </w:pPr>
      <w:hyperlink w:anchor="h4">
        <w:r>
          <w:rPr>
            <w:color w:val="526373"/>
          </w:rPr>
          <w:t>0.2  Responsabile/i e sub-responsabile/i del trattamento</w:t>
        </w:r>
      </w:hyperlink>
      <w:r>
        <w:tab/>
      </w:r>
      <w:bookmarkStart w:id="3" w:name="toc_h4"/>
      <w:r>
        <w:fldChar w:fldCharType="begin"/>
      </w:r>
      <w:r>
        <w:instrText>PAGEREF h4 \h</w:instrText>
      </w:r>
      <w:r>
        <w:fldChar w:fldCharType="separate"/>
      </w:r>
      <w:r w:rsidR="00FD57A3">
        <w:rPr>
          <w:noProof/>
        </w:rPr>
        <w:t>1</w:t>
      </w:r>
      <w:r>
        <w:fldChar w:fldCharType="end"/>
      </w:r>
      <w:bookmarkEnd w:id="3"/>
    </w:p>
    <w:p w14:paraId="1F9B9C2E" w14:textId="77777777" w:rsidR="006A7F6D" w:rsidRDefault="00000000">
      <w:pPr>
        <w:pStyle w:val="TOCLine"/>
        <w:tabs>
          <w:tab w:val="right" w:pos="9694"/>
        </w:tabs>
        <w:ind w:left="159"/>
      </w:pPr>
      <w:hyperlink w:anchor="h5">
        <w:r>
          <w:rPr>
            <w:color w:val="526373"/>
          </w:rPr>
          <w:t>0.3  Denominazione del trattamento</w:t>
        </w:r>
      </w:hyperlink>
      <w:r>
        <w:tab/>
      </w:r>
      <w:bookmarkStart w:id="4" w:name="toc_h5"/>
      <w:r>
        <w:fldChar w:fldCharType="begin"/>
      </w:r>
      <w:r>
        <w:instrText>PAGEREF h5 \h</w:instrText>
      </w:r>
      <w:r>
        <w:fldChar w:fldCharType="separate"/>
      </w:r>
      <w:r w:rsidR="00FD57A3">
        <w:rPr>
          <w:noProof/>
        </w:rPr>
        <w:t>1</w:t>
      </w:r>
      <w:r>
        <w:fldChar w:fldCharType="end"/>
      </w:r>
      <w:bookmarkEnd w:id="4"/>
    </w:p>
    <w:p w14:paraId="2FC35A5E" w14:textId="77777777" w:rsidR="006A7F6D" w:rsidRDefault="00000000">
      <w:pPr>
        <w:pStyle w:val="TOCLine"/>
        <w:tabs>
          <w:tab w:val="right" w:pos="9694"/>
        </w:tabs>
        <w:ind w:left="159"/>
      </w:pPr>
      <w:hyperlink w:anchor="h6">
        <w:r>
          <w:rPr>
            <w:color w:val="526373"/>
          </w:rPr>
          <w:t>0.4  Pianificazione del trattamento</w:t>
        </w:r>
      </w:hyperlink>
      <w:r>
        <w:tab/>
      </w:r>
      <w:bookmarkStart w:id="5" w:name="toc_h6"/>
      <w:r>
        <w:fldChar w:fldCharType="begin"/>
      </w:r>
      <w:r>
        <w:instrText>PAGEREF h6 \h</w:instrText>
      </w:r>
      <w:r>
        <w:fldChar w:fldCharType="separate"/>
      </w:r>
      <w:r w:rsidR="00FD57A3">
        <w:rPr>
          <w:noProof/>
        </w:rPr>
        <w:t>1</w:t>
      </w:r>
      <w:r>
        <w:fldChar w:fldCharType="end"/>
      </w:r>
      <w:bookmarkEnd w:id="5"/>
    </w:p>
    <w:p w14:paraId="746E90D3" w14:textId="77777777" w:rsidR="006A7F6D" w:rsidRDefault="00000000">
      <w:pPr>
        <w:pStyle w:val="TOCLine"/>
        <w:tabs>
          <w:tab w:val="right" w:pos="9694"/>
        </w:tabs>
        <w:ind w:left="159"/>
      </w:pPr>
      <w:hyperlink w:anchor="h7">
        <w:r>
          <w:rPr>
            <w:color w:val="526373"/>
          </w:rPr>
          <w:t>0.5  Scheda tecnica della DPIA</w:t>
        </w:r>
      </w:hyperlink>
      <w:r>
        <w:tab/>
      </w:r>
      <w:bookmarkStart w:id="6" w:name="toc_h7"/>
      <w:r>
        <w:fldChar w:fldCharType="begin"/>
      </w:r>
      <w:r>
        <w:instrText>PAGEREF h7 \h</w:instrText>
      </w:r>
      <w:r>
        <w:fldChar w:fldCharType="separate"/>
      </w:r>
      <w:r w:rsidR="00FD57A3">
        <w:rPr>
          <w:noProof/>
        </w:rPr>
        <w:t>1</w:t>
      </w:r>
      <w:r>
        <w:fldChar w:fldCharType="end"/>
      </w:r>
      <w:bookmarkEnd w:id="6"/>
    </w:p>
    <w:p w14:paraId="50B6F632" w14:textId="77777777" w:rsidR="006A7F6D" w:rsidRDefault="00000000">
      <w:pPr>
        <w:pStyle w:val="TOCLine"/>
        <w:tabs>
          <w:tab w:val="right" w:pos="9694"/>
        </w:tabs>
      </w:pPr>
      <w:hyperlink w:anchor="h8">
        <w:r>
          <w:rPr>
            <w:b/>
            <w:color w:val="17324D"/>
          </w:rPr>
          <w:t>1  DESCRIZIONE SISTEMATICA DEL TRATTAMENTO</w:t>
        </w:r>
      </w:hyperlink>
      <w:r>
        <w:tab/>
      </w:r>
      <w:bookmarkStart w:id="7" w:name="toc_h8"/>
      <w:r>
        <w:fldChar w:fldCharType="begin"/>
      </w:r>
      <w:r>
        <w:instrText>PAGEREF h8 \h</w:instrText>
      </w:r>
      <w:r>
        <w:fldChar w:fldCharType="separate"/>
      </w:r>
      <w:r w:rsidR="00FD57A3">
        <w:rPr>
          <w:noProof/>
        </w:rPr>
        <w:t>1</w:t>
      </w:r>
      <w:r>
        <w:fldChar w:fldCharType="end"/>
      </w:r>
      <w:bookmarkEnd w:id="7"/>
    </w:p>
    <w:p w14:paraId="160FCCA2" w14:textId="77777777" w:rsidR="006A7F6D" w:rsidRDefault="00000000">
      <w:pPr>
        <w:pStyle w:val="TOCLine"/>
        <w:tabs>
          <w:tab w:val="right" w:pos="9694"/>
        </w:tabs>
        <w:ind w:left="159"/>
      </w:pPr>
      <w:hyperlink w:anchor="h9">
        <w:r>
          <w:rPr>
            <w:color w:val="526373"/>
          </w:rPr>
          <w:t>1.1  Descrizione generale del trattamento</w:t>
        </w:r>
      </w:hyperlink>
      <w:r>
        <w:tab/>
      </w:r>
      <w:bookmarkStart w:id="8" w:name="toc_h9"/>
      <w:r>
        <w:fldChar w:fldCharType="begin"/>
      </w:r>
      <w:r>
        <w:instrText>PAGEREF h9 \h</w:instrText>
      </w:r>
      <w:r>
        <w:fldChar w:fldCharType="separate"/>
      </w:r>
      <w:r w:rsidR="00FD57A3">
        <w:rPr>
          <w:noProof/>
        </w:rPr>
        <w:t>1</w:t>
      </w:r>
      <w:r>
        <w:fldChar w:fldCharType="end"/>
      </w:r>
      <w:bookmarkEnd w:id="8"/>
    </w:p>
    <w:p w14:paraId="772A2EFA" w14:textId="77777777" w:rsidR="006A7F6D" w:rsidRDefault="00000000">
      <w:pPr>
        <w:pStyle w:val="TOCLine"/>
        <w:tabs>
          <w:tab w:val="right" w:pos="9694"/>
        </w:tabs>
        <w:ind w:left="317"/>
      </w:pPr>
      <w:hyperlink w:anchor="h10">
        <w:r>
          <w:rPr>
            <w:color w:val="526373"/>
          </w:rPr>
          <w:t>1.1.1  Dati personali trattati</w:t>
        </w:r>
      </w:hyperlink>
      <w:r>
        <w:tab/>
      </w:r>
      <w:bookmarkStart w:id="9" w:name="toc_h10"/>
      <w:r>
        <w:fldChar w:fldCharType="begin"/>
      </w:r>
      <w:r>
        <w:instrText>PAGEREF h10 \h</w:instrText>
      </w:r>
      <w:r>
        <w:fldChar w:fldCharType="separate"/>
      </w:r>
      <w:r w:rsidR="00FD57A3">
        <w:rPr>
          <w:noProof/>
        </w:rPr>
        <w:t>1</w:t>
      </w:r>
      <w:r>
        <w:fldChar w:fldCharType="end"/>
      </w:r>
      <w:bookmarkEnd w:id="9"/>
    </w:p>
    <w:p w14:paraId="28591BA4" w14:textId="77777777" w:rsidR="006A7F6D" w:rsidRDefault="00000000">
      <w:pPr>
        <w:pStyle w:val="TOCLine"/>
        <w:tabs>
          <w:tab w:val="right" w:pos="9694"/>
        </w:tabs>
        <w:ind w:left="317"/>
      </w:pPr>
      <w:hyperlink w:anchor="h11">
        <w:r>
          <w:rPr>
            <w:color w:val="526373"/>
          </w:rPr>
          <w:t>1.1.2  Finalità del trattamento</w:t>
        </w:r>
      </w:hyperlink>
      <w:r>
        <w:tab/>
      </w:r>
      <w:bookmarkStart w:id="10" w:name="toc_h11"/>
      <w:r>
        <w:fldChar w:fldCharType="begin"/>
      </w:r>
      <w:r>
        <w:instrText>PAGEREF h11 \h</w:instrText>
      </w:r>
      <w:r>
        <w:fldChar w:fldCharType="separate"/>
      </w:r>
      <w:r w:rsidR="00FD57A3">
        <w:rPr>
          <w:noProof/>
        </w:rPr>
        <w:t>1</w:t>
      </w:r>
      <w:r>
        <w:fldChar w:fldCharType="end"/>
      </w:r>
      <w:bookmarkEnd w:id="10"/>
    </w:p>
    <w:p w14:paraId="7D862EED" w14:textId="77777777" w:rsidR="006A7F6D" w:rsidRDefault="00000000">
      <w:pPr>
        <w:pStyle w:val="TOCLine"/>
        <w:tabs>
          <w:tab w:val="right" w:pos="9694"/>
        </w:tabs>
        <w:ind w:left="317"/>
      </w:pPr>
      <w:hyperlink w:anchor="h12">
        <w:r>
          <w:rPr>
            <w:color w:val="526373"/>
          </w:rPr>
          <w:t>1.1.3  Utilizzi secondari o compatibili</w:t>
        </w:r>
      </w:hyperlink>
      <w:r>
        <w:tab/>
      </w:r>
      <w:bookmarkStart w:id="11" w:name="toc_h12"/>
      <w:r>
        <w:fldChar w:fldCharType="begin"/>
      </w:r>
      <w:r>
        <w:instrText>PAGEREF h12 \h</w:instrText>
      </w:r>
      <w:r>
        <w:fldChar w:fldCharType="separate"/>
      </w:r>
      <w:r w:rsidR="00FD57A3">
        <w:rPr>
          <w:noProof/>
        </w:rPr>
        <w:t>1</w:t>
      </w:r>
      <w:r>
        <w:fldChar w:fldCharType="end"/>
      </w:r>
      <w:bookmarkEnd w:id="11"/>
    </w:p>
    <w:p w14:paraId="1FC33DD3" w14:textId="77777777" w:rsidR="006A7F6D" w:rsidRDefault="00000000">
      <w:pPr>
        <w:pStyle w:val="TOCLine"/>
        <w:tabs>
          <w:tab w:val="right" w:pos="9694"/>
        </w:tabs>
        <w:ind w:left="317"/>
      </w:pPr>
      <w:hyperlink w:anchor="h13">
        <w:r>
          <w:rPr>
            <w:color w:val="526373"/>
          </w:rPr>
          <w:t>1.1.4  Natura, ambito di applicazione e contesto del trattamento</w:t>
        </w:r>
      </w:hyperlink>
      <w:r>
        <w:tab/>
      </w:r>
      <w:bookmarkStart w:id="12" w:name="toc_h13"/>
      <w:r>
        <w:fldChar w:fldCharType="begin"/>
      </w:r>
      <w:r>
        <w:instrText>PAGEREF h13 \h</w:instrText>
      </w:r>
      <w:r>
        <w:fldChar w:fldCharType="separate"/>
      </w:r>
      <w:r w:rsidR="00FD57A3">
        <w:rPr>
          <w:noProof/>
        </w:rPr>
        <w:t>1</w:t>
      </w:r>
      <w:r>
        <w:fldChar w:fldCharType="end"/>
      </w:r>
      <w:bookmarkEnd w:id="12"/>
    </w:p>
    <w:p w14:paraId="202787B8" w14:textId="77777777" w:rsidR="006A7F6D" w:rsidRDefault="00000000">
      <w:pPr>
        <w:pStyle w:val="TOCLine"/>
        <w:tabs>
          <w:tab w:val="right" w:pos="9694"/>
        </w:tabs>
        <w:ind w:left="159"/>
      </w:pPr>
      <w:hyperlink w:anchor="h14">
        <w:r>
          <w:rPr>
            <w:color w:val="526373"/>
          </w:rPr>
          <w:t>1.2  Descrizione funzionale</w:t>
        </w:r>
      </w:hyperlink>
      <w:r>
        <w:tab/>
      </w:r>
      <w:bookmarkStart w:id="13" w:name="toc_h14"/>
      <w:r>
        <w:fldChar w:fldCharType="begin"/>
      </w:r>
      <w:r>
        <w:instrText>PAGEREF h14 \h</w:instrText>
      </w:r>
      <w:r>
        <w:fldChar w:fldCharType="separate"/>
      </w:r>
      <w:r w:rsidR="00FD57A3">
        <w:rPr>
          <w:noProof/>
        </w:rPr>
        <w:t>1</w:t>
      </w:r>
      <w:r>
        <w:fldChar w:fldCharType="end"/>
      </w:r>
      <w:bookmarkEnd w:id="13"/>
    </w:p>
    <w:p w14:paraId="278E5CEF" w14:textId="77777777" w:rsidR="006A7F6D" w:rsidRDefault="00000000">
      <w:pPr>
        <w:pStyle w:val="TOCLine"/>
        <w:tabs>
          <w:tab w:val="right" w:pos="9694"/>
        </w:tabs>
        <w:ind w:left="159"/>
      </w:pPr>
      <w:hyperlink w:anchor="h15">
        <w:r>
          <w:rPr>
            <w:color w:val="526373"/>
          </w:rPr>
          <w:t>1.3  Mezzi del trattamento, risorse di supporto e architettura sottostante</w:t>
        </w:r>
      </w:hyperlink>
      <w:r>
        <w:tab/>
      </w:r>
      <w:bookmarkStart w:id="14" w:name="toc_h15"/>
      <w:r>
        <w:fldChar w:fldCharType="begin"/>
      </w:r>
      <w:r>
        <w:instrText>PAGEREF h15 \h</w:instrText>
      </w:r>
      <w:r>
        <w:fldChar w:fldCharType="separate"/>
      </w:r>
      <w:r w:rsidR="00FD57A3">
        <w:rPr>
          <w:noProof/>
        </w:rPr>
        <w:t>1</w:t>
      </w:r>
      <w:r>
        <w:fldChar w:fldCharType="end"/>
      </w:r>
      <w:bookmarkEnd w:id="14"/>
    </w:p>
    <w:p w14:paraId="1B90146B" w14:textId="77777777" w:rsidR="006A7F6D" w:rsidRDefault="00000000">
      <w:pPr>
        <w:pStyle w:val="TOCLine"/>
        <w:tabs>
          <w:tab w:val="right" w:pos="9694"/>
        </w:tabs>
        <w:ind w:left="159"/>
      </w:pPr>
      <w:hyperlink w:anchor="h16">
        <w:r>
          <w:rPr>
            <w:color w:val="526373"/>
          </w:rPr>
          <w:t>1.4  Conformità ai codici di condotta approvati</w:t>
        </w:r>
      </w:hyperlink>
      <w:r>
        <w:tab/>
      </w:r>
      <w:bookmarkStart w:id="15" w:name="toc_h16"/>
      <w:r>
        <w:fldChar w:fldCharType="begin"/>
      </w:r>
      <w:r>
        <w:instrText>PAGEREF h16 \h</w:instrText>
      </w:r>
      <w:r>
        <w:fldChar w:fldCharType="separate"/>
      </w:r>
      <w:r w:rsidR="00FD57A3">
        <w:rPr>
          <w:noProof/>
        </w:rPr>
        <w:t>1</w:t>
      </w:r>
      <w:r>
        <w:fldChar w:fldCharType="end"/>
      </w:r>
      <w:bookmarkEnd w:id="15"/>
    </w:p>
    <w:p w14:paraId="016C0D50" w14:textId="77777777" w:rsidR="006A7F6D" w:rsidRDefault="00000000">
      <w:pPr>
        <w:pStyle w:val="TOCLine"/>
        <w:tabs>
          <w:tab w:val="right" w:pos="9694"/>
        </w:tabs>
      </w:pPr>
      <w:hyperlink w:anchor="h17">
        <w:r>
          <w:rPr>
            <w:b/>
            <w:color w:val="17324D"/>
          </w:rPr>
          <w:t>2  ANALISI DEL TRATTAMENTO</w:t>
        </w:r>
      </w:hyperlink>
      <w:r>
        <w:tab/>
      </w:r>
      <w:bookmarkStart w:id="16" w:name="toc_h17"/>
      <w:r>
        <w:fldChar w:fldCharType="begin"/>
      </w:r>
      <w:r>
        <w:instrText>PAGEREF h17 \h</w:instrText>
      </w:r>
      <w:r>
        <w:fldChar w:fldCharType="separate"/>
      </w:r>
      <w:r w:rsidR="00FD57A3">
        <w:rPr>
          <w:noProof/>
        </w:rPr>
        <w:t>1</w:t>
      </w:r>
      <w:r>
        <w:fldChar w:fldCharType="end"/>
      </w:r>
      <w:bookmarkEnd w:id="16"/>
    </w:p>
    <w:p w14:paraId="294771A2" w14:textId="77777777" w:rsidR="006A7F6D" w:rsidRDefault="00000000">
      <w:pPr>
        <w:pStyle w:val="TOCLine"/>
        <w:tabs>
          <w:tab w:val="right" w:pos="9694"/>
        </w:tabs>
        <w:ind w:left="159"/>
      </w:pPr>
      <w:hyperlink w:anchor="h18">
        <w:r>
          <w:rPr>
            <w:color w:val="526373"/>
          </w:rPr>
          <w:t>2.1  Liceità del trattamento</w:t>
        </w:r>
      </w:hyperlink>
      <w:r>
        <w:tab/>
      </w:r>
      <w:bookmarkStart w:id="17" w:name="toc_h18"/>
      <w:r>
        <w:fldChar w:fldCharType="begin"/>
      </w:r>
      <w:r>
        <w:instrText>PAGEREF h18 \h</w:instrText>
      </w:r>
      <w:r>
        <w:fldChar w:fldCharType="separate"/>
      </w:r>
      <w:r w:rsidR="00FD57A3">
        <w:rPr>
          <w:noProof/>
        </w:rPr>
        <w:t>1</w:t>
      </w:r>
      <w:r>
        <w:fldChar w:fldCharType="end"/>
      </w:r>
      <w:bookmarkEnd w:id="17"/>
    </w:p>
    <w:p w14:paraId="34DF16D7" w14:textId="77777777" w:rsidR="006A7F6D" w:rsidRDefault="00000000">
      <w:pPr>
        <w:pStyle w:val="TOCLine"/>
        <w:tabs>
          <w:tab w:val="right" w:pos="9694"/>
        </w:tabs>
        <w:ind w:left="317"/>
      </w:pPr>
      <w:hyperlink w:anchor="h19">
        <w:r>
          <w:rPr>
            <w:color w:val="526373"/>
          </w:rPr>
          <w:t>2.1.1  Base giuridica</w:t>
        </w:r>
      </w:hyperlink>
      <w:r>
        <w:tab/>
      </w:r>
      <w:bookmarkStart w:id="18" w:name="toc_h19"/>
      <w:r>
        <w:fldChar w:fldCharType="begin"/>
      </w:r>
      <w:r>
        <w:instrText>PAGEREF h19 \h</w:instrText>
      </w:r>
      <w:r>
        <w:fldChar w:fldCharType="separate"/>
      </w:r>
      <w:r w:rsidR="00FD57A3">
        <w:rPr>
          <w:noProof/>
        </w:rPr>
        <w:t>1</w:t>
      </w:r>
      <w:r>
        <w:fldChar w:fldCharType="end"/>
      </w:r>
      <w:bookmarkEnd w:id="18"/>
    </w:p>
    <w:p w14:paraId="6D7C03EB" w14:textId="77777777" w:rsidR="006A7F6D" w:rsidRDefault="00000000">
      <w:pPr>
        <w:pStyle w:val="TOCLine"/>
        <w:tabs>
          <w:tab w:val="right" w:pos="9694"/>
        </w:tabs>
        <w:ind w:left="317"/>
      </w:pPr>
      <w:hyperlink w:anchor="h20">
        <w:r>
          <w:rPr>
            <w:color w:val="526373"/>
          </w:rPr>
          <w:t>2.1.2  Condizioni che consentono di derogare al divieto di trattamento</w:t>
        </w:r>
      </w:hyperlink>
      <w:r>
        <w:tab/>
      </w:r>
      <w:bookmarkStart w:id="19" w:name="toc_h20"/>
      <w:r>
        <w:fldChar w:fldCharType="begin"/>
      </w:r>
      <w:r>
        <w:instrText>PAGEREF h20 \h</w:instrText>
      </w:r>
      <w:r>
        <w:fldChar w:fldCharType="separate"/>
      </w:r>
      <w:r w:rsidR="00FD57A3">
        <w:rPr>
          <w:noProof/>
        </w:rPr>
        <w:t>1</w:t>
      </w:r>
      <w:r>
        <w:fldChar w:fldCharType="end"/>
      </w:r>
      <w:bookmarkEnd w:id="19"/>
    </w:p>
    <w:p w14:paraId="49AF2D58" w14:textId="77777777" w:rsidR="006A7F6D" w:rsidRDefault="00000000">
      <w:pPr>
        <w:pStyle w:val="TOCLine"/>
        <w:tabs>
          <w:tab w:val="right" w:pos="9694"/>
        </w:tabs>
        <w:ind w:left="159"/>
      </w:pPr>
      <w:hyperlink w:anchor="h21">
        <w:r>
          <w:rPr>
            <w:color w:val="526373"/>
          </w:rPr>
          <w:t>2.2  Minimizzazione dei dati, periodi di conservazione e qualità dei dati</w:t>
        </w:r>
      </w:hyperlink>
      <w:r>
        <w:tab/>
      </w:r>
      <w:bookmarkStart w:id="20" w:name="toc_h21"/>
      <w:r>
        <w:fldChar w:fldCharType="begin"/>
      </w:r>
      <w:r>
        <w:instrText>PAGEREF h21 \h</w:instrText>
      </w:r>
      <w:r>
        <w:fldChar w:fldCharType="separate"/>
      </w:r>
      <w:r w:rsidR="00FD57A3">
        <w:rPr>
          <w:noProof/>
        </w:rPr>
        <w:t>1</w:t>
      </w:r>
      <w:r>
        <w:fldChar w:fldCharType="end"/>
      </w:r>
      <w:bookmarkEnd w:id="20"/>
    </w:p>
    <w:p w14:paraId="606B5877" w14:textId="77777777" w:rsidR="006A7F6D" w:rsidRDefault="00000000">
      <w:pPr>
        <w:pStyle w:val="TOCLine"/>
        <w:tabs>
          <w:tab w:val="right" w:pos="9694"/>
        </w:tabs>
        <w:ind w:left="317"/>
      </w:pPr>
      <w:hyperlink w:anchor="h22">
        <w:r>
          <w:rPr>
            <w:color w:val="526373"/>
          </w:rPr>
          <w:t>2.2.1  Minimizzazione dei dati e periodi di conservazione</w:t>
        </w:r>
      </w:hyperlink>
      <w:r>
        <w:tab/>
      </w:r>
      <w:bookmarkStart w:id="21" w:name="toc_h22"/>
      <w:r>
        <w:fldChar w:fldCharType="begin"/>
      </w:r>
      <w:r>
        <w:instrText>PAGEREF h22 \h</w:instrText>
      </w:r>
      <w:r>
        <w:fldChar w:fldCharType="separate"/>
      </w:r>
      <w:r w:rsidR="00FD57A3">
        <w:rPr>
          <w:noProof/>
        </w:rPr>
        <w:t>1</w:t>
      </w:r>
      <w:r>
        <w:fldChar w:fldCharType="end"/>
      </w:r>
      <w:bookmarkEnd w:id="21"/>
    </w:p>
    <w:p w14:paraId="112DC2B9" w14:textId="77777777" w:rsidR="006A7F6D" w:rsidRDefault="00000000">
      <w:pPr>
        <w:pStyle w:val="TOCLine"/>
        <w:tabs>
          <w:tab w:val="right" w:pos="9694"/>
        </w:tabs>
        <w:ind w:left="317"/>
      </w:pPr>
      <w:hyperlink w:anchor="h23">
        <w:r>
          <w:rPr>
            <w:color w:val="526373"/>
          </w:rPr>
          <w:t>2.2.2  Qualità dei dati</w:t>
        </w:r>
      </w:hyperlink>
      <w:r>
        <w:tab/>
      </w:r>
      <w:bookmarkStart w:id="22" w:name="toc_h23"/>
      <w:r>
        <w:fldChar w:fldCharType="begin"/>
      </w:r>
      <w:r>
        <w:instrText>PAGEREF h23 \h</w:instrText>
      </w:r>
      <w:r>
        <w:fldChar w:fldCharType="separate"/>
      </w:r>
      <w:r w:rsidR="00FD57A3">
        <w:rPr>
          <w:noProof/>
        </w:rPr>
        <w:t>1</w:t>
      </w:r>
      <w:r>
        <w:fldChar w:fldCharType="end"/>
      </w:r>
      <w:bookmarkEnd w:id="22"/>
    </w:p>
    <w:p w14:paraId="2393DF7E" w14:textId="77777777" w:rsidR="006A7F6D" w:rsidRDefault="00000000">
      <w:pPr>
        <w:pStyle w:val="TOCLine"/>
        <w:tabs>
          <w:tab w:val="right" w:pos="9694"/>
        </w:tabs>
        <w:ind w:left="159"/>
      </w:pPr>
      <w:hyperlink w:anchor="h24">
        <w:r>
          <w:rPr>
            <w:color w:val="526373"/>
          </w:rPr>
          <w:t>2.3  Misure a supporto della conformità</w:t>
        </w:r>
      </w:hyperlink>
      <w:r>
        <w:tab/>
      </w:r>
      <w:bookmarkStart w:id="23" w:name="toc_h24"/>
      <w:r>
        <w:fldChar w:fldCharType="begin"/>
      </w:r>
      <w:r>
        <w:instrText>PAGEREF h24 \h</w:instrText>
      </w:r>
      <w:r>
        <w:fldChar w:fldCharType="separate"/>
      </w:r>
      <w:r w:rsidR="00FD57A3">
        <w:rPr>
          <w:noProof/>
        </w:rPr>
        <w:t>1</w:t>
      </w:r>
      <w:r>
        <w:fldChar w:fldCharType="end"/>
      </w:r>
      <w:bookmarkEnd w:id="23"/>
    </w:p>
    <w:p w14:paraId="7AF1A5A8" w14:textId="77777777" w:rsidR="006A7F6D" w:rsidRDefault="006A7F6D"/>
    <w:p w14:paraId="236D29C6" w14:textId="77777777" w:rsidR="006A7F6D" w:rsidRDefault="00000000">
      <w:r>
        <w:br w:type="page"/>
      </w:r>
    </w:p>
    <w:p w14:paraId="2DE861A1" w14:textId="77777777" w:rsidR="006A7F6D" w:rsidRDefault="00000000">
      <w:pPr>
        <w:pStyle w:val="Titolo1"/>
      </w:pPr>
      <w:r>
        <w:rPr>
          <w:rFonts w:ascii="Calibri" w:hAnsi="Calibri"/>
        </w:rPr>
        <w:t>Indice dei contenuti — segue</w:t>
      </w:r>
    </w:p>
    <w:p w14:paraId="46F62904" w14:textId="77777777" w:rsidR="006A7F6D" w:rsidRDefault="00000000">
      <w:pPr>
        <w:pStyle w:val="TOCLine"/>
        <w:tabs>
          <w:tab w:val="right" w:pos="9694"/>
        </w:tabs>
        <w:ind w:left="317"/>
      </w:pPr>
      <w:hyperlink w:anchor="h25">
        <w:r>
          <w:rPr>
            <w:color w:val="526373"/>
          </w:rPr>
          <w:t>2.3.1  Misure a supporto dei principi dell’articolo 5, paragrafo 1, lettere a)-f), GDPR</w:t>
        </w:r>
      </w:hyperlink>
      <w:r>
        <w:tab/>
      </w:r>
      <w:bookmarkStart w:id="24" w:name="toc_h25"/>
      <w:r>
        <w:fldChar w:fldCharType="begin"/>
      </w:r>
      <w:r>
        <w:instrText>PAGEREF h25 \h</w:instrText>
      </w:r>
      <w:r>
        <w:fldChar w:fldCharType="separate"/>
      </w:r>
      <w:r w:rsidR="00FD57A3">
        <w:rPr>
          <w:noProof/>
        </w:rPr>
        <w:t>1</w:t>
      </w:r>
      <w:r>
        <w:fldChar w:fldCharType="end"/>
      </w:r>
      <w:bookmarkEnd w:id="24"/>
    </w:p>
    <w:p w14:paraId="6C905BE3" w14:textId="77777777" w:rsidR="006A7F6D" w:rsidRDefault="00000000">
      <w:pPr>
        <w:pStyle w:val="TOCLine"/>
        <w:tabs>
          <w:tab w:val="right" w:pos="9694"/>
        </w:tabs>
        <w:ind w:left="317"/>
      </w:pPr>
      <w:hyperlink w:anchor="h26">
        <w:r>
          <w:rPr>
            <w:color w:val="526373"/>
          </w:rPr>
          <w:t>2.3.2  Misure a supporto dell’esercizio dei diritti degli interessati</w:t>
        </w:r>
      </w:hyperlink>
      <w:r>
        <w:tab/>
      </w:r>
      <w:bookmarkStart w:id="25" w:name="toc_h26"/>
      <w:r>
        <w:fldChar w:fldCharType="begin"/>
      </w:r>
      <w:r>
        <w:instrText>PAGEREF h26 \h</w:instrText>
      </w:r>
      <w:r>
        <w:fldChar w:fldCharType="separate"/>
      </w:r>
      <w:r w:rsidR="00FD57A3">
        <w:rPr>
          <w:noProof/>
        </w:rPr>
        <w:t>1</w:t>
      </w:r>
      <w:r>
        <w:fldChar w:fldCharType="end"/>
      </w:r>
      <w:bookmarkEnd w:id="25"/>
    </w:p>
    <w:p w14:paraId="792200B5" w14:textId="77777777" w:rsidR="006A7F6D" w:rsidRDefault="00000000">
      <w:pPr>
        <w:pStyle w:val="TOCLine"/>
        <w:tabs>
          <w:tab w:val="right" w:pos="9694"/>
        </w:tabs>
        <w:ind w:left="317"/>
      </w:pPr>
      <w:hyperlink w:anchor="h27">
        <w:r>
          <w:rPr>
            <w:color w:val="526373"/>
          </w:rPr>
          <w:t>2.3.3  Misure a supporto degli altri requisiti del GDPR</w:t>
        </w:r>
      </w:hyperlink>
      <w:r>
        <w:tab/>
      </w:r>
      <w:bookmarkStart w:id="26" w:name="toc_h27"/>
      <w:r>
        <w:fldChar w:fldCharType="begin"/>
      </w:r>
      <w:r>
        <w:instrText>PAGEREF h27 \h</w:instrText>
      </w:r>
      <w:r>
        <w:fldChar w:fldCharType="separate"/>
      </w:r>
      <w:r w:rsidR="00FD57A3">
        <w:rPr>
          <w:noProof/>
        </w:rPr>
        <w:t>1</w:t>
      </w:r>
      <w:r>
        <w:fldChar w:fldCharType="end"/>
      </w:r>
      <w:bookmarkEnd w:id="26"/>
    </w:p>
    <w:p w14:paraId="288219AA" w14:textId="77777777" w:rsidR="006A7F6D" w:rsidRDefault="00000000">
      <w:pPr>
        <w:pStyle w:val="TOCLine"/>
        <w:tabs>
          <w:tab w:val="right" w:pos="9694"/>
        </w:tabs>
        <w:ind w:left="317"/>
      </w:pPr>
      <w:hyperlink w:anchor="h28">
        <w:r>
          <w:rPr>
            <w:color w:val="526373"/>
          </w:rPr>
          <w:t>2.3.4  Misure a supporto della protezione dei dati fin dalla progettazione e per impostazione predefinita</w:t>
        </w:r>
      </w:hyperlink>
      <w:r>
        <w:tab/>
      </w:r>
      <w:bookmarkStart w:id="27" w:name="toc_h28"/>
      <w:r>
        <w:fldChar w:fldCharType="begin"/>
      </w:r>
      <w:r>
        <w:instrText>PAGEREF h28 \h</w:instrText>
      </w:r>
      <w:r>
        <w:fldChar w:fldCharType="separate"/>
      </w:r>
      <w:r w:rsidR="00FD57A3">
        <w:rPr>
          <w:noProof/>
        </w:rPr>
        <w:t>1</w:t>
      </w:r>
      <w:r>
        <w:fldChar w:fldCharType="end"/>
      </w:r>
      <w:bookmarkEnd w:id="27"/>
    </w:p>
    <w:p w14:paraId="221F569E" w14:textId="77777777" w:rsidR="006A7F6D" w:rsidRDefault="00000000">
      <w:pPr>
        <w:pStyle w:val="TOCLine"/>
        <w:tabs>
          <w:tab w:val="right" w:pos="9694"/>
        </w:tabs>
        <w:ind w:left="317"/>
      </w:pPr>
      <w:hyperlink w:anchor="h29">
        <w:r>
          <w:rPr>
            <w:color w:val="526373"/>
          </w:rPr>
          <w:t>2.3.5  Misure a supporto della sicurezza del trattamento</w:t>
        </w:r>
      </w:hyperlink>
      <w:r>
        <w:tab/>
      </w:r>
      <w:bookmarkStart w:id="28" w:name="toc_h29"/>
      <w:r>
        <w:fldChar w:fldCharType="begin"/>
      </w:r>
      <w:r>
        <w:instrText>PAGEREF h29 \h</w:instrText>
      </w:r>
      <w:r>
        <w:fldChar w:fldCharType="separate"/>
      </w:r>
      <w:r w:rsidR="00FD57A3">
        <w:rPr>
          <w:noProof/>
        </w:rPr>
        <w:t>1</w:t>
      </w:r>
      <w:r>
        <w:fldChar w:fldCharType="end"/>
      </w:r>
      <w:bookmarkEnd w:id="28"/>
    </w:p>
    <w:p w14:paraId="274AA64B" w14:textId="77777777" w:rsidR="006A7F6D" w:rsidRDefault="00000000">
      <w:pPr>
        <w:pStyle w:val="TOCLine"/>
        <w:tabs>
          <w:tab w:val="right" w:pos="9694"/>
        </w:tabs>
      </w:pPr>
      <w:hyperlink w:anchor="h30">
        <w:r>
          <w:rPr>
            <w:b/>
            <w:color w:val="17324D"/>
          </w:rPr>
          <w:t>3  CONSIDERAZIONI SULLA NECESSITÀ E SULLA PROPORZIONALITÀ</w:t>
        </w:r>
      </w:hyperlink>
      <w:r>
        <w:tab/>
      </w:r>
      <w:bookmarkStart w:id="29" w:name="toc_h30"/>
      <w:r>
        <w:fldChar w:fldCharType="begin"/>
      </w:r>
      <w:r>
        <w:instrText>PAGEREF h30 \h</w:instrText>
      </w:r>
      <w:r>
        <w:fldChar w:fldCharType="separate"/>
      </w:r>
      <w:r w:rsidR="00FD57A3">
        <w:rPr>
          <w:noProof/>
        </w:rPr>
        <w:t>1</w:t>
      </w:r>
      <w:r>
        <w:fldChar w:fldCharType="end"/>
      </w:r>
      <w:bookmarkEnd w:id="29"/>
    </w:p>
    <w:p w14:paraId="75DA5C3E" w14:textId="77777777" w:rsidR="006A7F6D" w:rsidRDefault="00000000">
      <w:pPr>
        <w:pStyle w:val="TOCLine"/>
        <w:tabs>
          <w:tab w:val="right" w:pos="9694"/>
        </w:tabs>
        <w:ind w:left="159"/>
      </w:pPr>
      <w:hyperlink w:anchor="h31">
        <w:r>
          <w:rPr>
            <w:color w:val="526373"/>
          </w:rPr>
          <w:t>3.1  Impatti del trattamento sui diritti e sulle libertà degli interessati</w:t>
        </w:r>
      </w:hyperlink>
      <w:r>
        <w:tab/>
      </w:r>
      <w:bookmarkStart w:id="30" w:name="toc_h31"/>
      <w:r>
        <w:fldChar w:fldCharType="begin"/>
      </w:r>
      <w:r>
        <w:instrText>PAGEREF h31 \h</w:instrText>
      </w:r>
      <w:r>
        <w:fldChar w:fldCharType="separate"/>
      </w:r>
      <w:r w:rsidR="00FD57A3">
        <w:rPr>
          <w:noProof/>
        </w:rPr>
        <w:t>1</w:t>
      </w:r>
      <w:r>
        <w:fldChar w:fldCharType="end"/>
      </w:r>
      <w:bookmarkEnd w:id="30"/>
    </w:p>
    <w:p w14:paraId="55119DEC" w14:textId="77777777" w:rsidR="006A7F6D" w:rsidRDefault="00000000">
      <w:pPr>
        <w:pStyle w:val="TOCLine"/>
        <w:tabs>
          <w:tab w:val="right" w:pos="9694"/>
        </w:tabs>
        <w:ind w:left="159"/>
      </w:pPr>
      <w:hyperlink w:anchor="h32">
        <w:r>
          <w:rPr>
            <w:color w:val="526373"/>
          </w:rPr>
          <w:t>3.2  Valutare la necessità del trattamento</w:t>
        </w:r>
      </w:hyperlink>
      <w:r>
        <w:tab/>
      </w:r>
      <w:bookmarkStart w:id="31" w:name="toc_h32"/>
      <w:r>
        <w:fldChar w:fldCharType="begin"/>
      </w:r>
      <w:r>
        <w:instrText>PAGEREF h32 \h</w:instrText>
      </w:r>
      <w:r>
        <w:fldChar w:fldCharType="separate"/>
      </w:r>
      <w:r w:rsidR="00FD57A3">
        <w:rPr>
          <w:noProof/>
        </w:rPr>
        <w:t>1</w:t>
      </w:r>
      <w:r>
        <w:fldChar w:fldCharType="end"/>
      </w:r>
      <w:bookmarkEnd w:id="31"/>
    </w:p>
    <w:p w14:paraId="1FE45A0D" w14:textId="77777777" w:rsidR="006A7F6D" w:rsidRDefault="00000000">
      <w:pPr>
        <w:pStyle w:val="TOCLine"/>
        <w:tabs>
          <w:tab w:val="right" w:pos="9694"/>
        </w:tabs>
        <w:ind w:left="159"/>
      </w:pPr>
      <w:hyperlink w:anchor="h33">
        <w:r>
          <w:rPr>
            <w:color w:val="526373"/>
          </w:rPr>
          <w:t>3.3  Valutare la proporzionalità del trattamento</w:t>
        </w:r>
      </w:hyperlink>
      <w:r>
        <w:tab/>
      </w:r>
      <w:bookmarkStart w:id="32" w:name="toc_h33"/>
      <w:r>
        <w:fldChar w:fldCharType="begin"/>
      </w:r>
      <w:r>
        <w:instrText>PAGEREF h33 \h</w:instrText>
      </w:r>
      <w:r>
        <w:fldChar w:fldCharType="separate"/>
      </w:r>
      <w:r w:rsidR="00FD57A3">
        <w:rPr>
          <w:noProof/>
        </w:rPr>
        <w:t>1</w:t>
      </w:r>
      <w:r>
        <w:fldChar w:fldCharType="end"/>
      </w:r>
      <w:bookmarkEnd w:id="32"/>
    </w:p>
    <w:p w14:paraId="165F6D1B" w14:textId="77777777" w:rsidR="006A7F6D" w:rsidRDefault="00000000">
      <w:pPr>
        <w:pStyle w:val="TOCLine"/>
        <w:tabs>
          <w:tab w:val="right" w:pos="9694"/>
        </w:tabs>
      </w:pPr>
      <w:hyperlink w:anchor="h34">
        <w:r>
          <w:rPr>
            <w:b/>
            <w:color w:val="17324D"/>
          </w:rPr>
          <w:t>4  VALUTAZIONE E GESTIONE DEL RISCHIO</w:t>
        </w:r>
      </w:hyperlink>
      <w:r>
        <w:tab/>
      </w:r>
      <w:bookmarkStart w:id="33" w:name="toc_h34"/>
      <w:r>
        <w:fldChar w:fldCharType="begin"/>
      </w:r>
      <w:r>
        <w:instrText>PAGEREF h34 \h</w:instrText>
      </w:r>
      <w:r>
        <w:fldChar w:fldCharType="separate"/>
      </w:r>
      <w:r w:rsidR="00FD57A3">
        <w:rPr>
          <w:noProof/>
        </w:rPr>
        <w:t>1</w:t>
      </w:r>
      <w:r>
        <w:fldChar w:fldCharType="end"/>
      </w:r>
      <w:bookmarkEnd w:id="33"/>
    </w:p>
    <w:p w14:paraId="65E96A1E" w14:textId="77777777" w:rsidR="006A7F6D" w:rsidRDefault="00000000">
      <w:pPr>
        <w:pStyle w:val="TOCLine"/>
        <w:tabs>
          <w:tab w:val="right" w:pos="9694"/>
        </w:tabs>
        <w:ind w:left="159"/>
      </w:pPr>
      <w:hyperlink w:anchor="h35">
        <w:r>
          <w:rPr>
            <w:color w:val="526373"/>
          </w:rPr>
          <w:t>4.1  Valutazione e gestione del rischio</w:t>
        </w:r>
      </w:hyperlink>
      <w:r>
        <w:tab/>
      </w:r>
      <w:bookmarkStart w:id="34" w:name="toc_h35"/>
      <w:r>
        <w:fldChar w:fldCharType="begin"/>
      </w:r>
      <w:r>
        <w:instrText>PAGEREF h35 \h</w:instrText>
      </w:r>
      <w:r>
        <w:fldChar w:fldCharType="separate"/>
      </w:r>
      <w:r w:rsidR="00FD57A3">
        <w:rPr>
          <w:noProof/>
        </w:rPr>
        <w:t>1</w:t>
      </w:r>
      <w:r>
        <w:fldChar w:fldCharType="end"/>
      </w:r>
      <w:bookmarkEnd w:id="34"/>
    </w:p>
    <w:p w14:paraId="4698DB69" w14:textId="77777777" w:rsidR="006A7F6D" w:rsidRDefault="00000000">
      <w:pPr>
        <w:pStyle w:val="TOCLine"/>
        <w:tabs>
          <w:tab w:val="right" w:pos="9694"/>
        </w:tabs>
        <w:ind w:left="317"/>
      </w:pPr>
      <w:hyperlink w:anchor="h36">
        <w:r>
          <w:rPr>
            <w:color w:val="526373"/>
          </w:rPr>
          <w:t>4.1.1  Impatti sui diritti e sulle libertà causati da eventi non conformi al funzionamento predefinito, accidentali, illeciti o anomali</w:t>
        </w:r>
      </w:hyperlink>
      <w:r>
        <w:tab/>
      </w:r>
      <w:bookmarkStart w:id="35" w:name="toc_h36"/>
      <w:r>
        <w:fldChar w:fldCharType="begin"/>
      </w:r>
      <w:r>
        <w:instrText>PAGEREF h36 \h</w:instrText>
      </w:r>
      <w:r>
        <w:fldChar w:fldCharType="separate"/>
      </w:r>
      <w:r w:rsidR="00FD57A3">
        <w:rPr>
          <w:noProof/>
        </w:rPr>
        <w:t>1</w:t>
      </w:r>
      <w:r>
        <w:fldChar w:fldCharType="end"/>
      </w:r>
      <w:bookmarkEnd w:id="35"/>
    </w:p>
    <w:p w14:paraId="7126352A" w14:textId="77777777" w:rsidR="006A7F6D" w:rsidRDefault="00000000">
      <w:pPr>
        <w:pStyle w:val="TOCLine"/>
        <w:tabs>
          <w:tab w:val="right" w:pos="9694"/>
        </w:tabs>
        <w:ind w:left="317"/>
      </w:pPr>
      <w:hyperlink w:anchor="h37">
        <w:r>
          <w:rPr>
            <w:color w:val="526373"/>
          </w:rPr>
          <w:t>4.1.2  Metodo</w:t>
        </w:r>
      </w:hyperlink>
      <w:r>
        <w:tab/>
      </w:r>
      <w:bookmarkStart w:id="36" w:name="toc_h37"/>
      <w:r>
        <w:fldChar w:fldCharType="begin"/>
      </w:r>
      <w:r>
        <w:instrText>PAGEREF h37 \h</w:instrText>
      </w:r>
      <w:r>
        <w:fldChar w:fldCharType="separate"/>
      </w:r>
      <w:r w:rsidR="00FD57A3">
        <w:rPr>
          <w:noProof/>
        </w:rPr>
        <w:t>1</w:t>
      </w:r>
      <w:r>
        <w:fldChar w:fldCharType="end"/>
      </w:r>
      <w:bookmarkEnd w:id="36"/>
    </w:p>
    <w:p w14:paraId="61D28D48" w14:textId="77777777" w:rsidR="006A7F6D" w:rsidRDefault="00000000">
      <w:pPr>
        <w:pStyle w:val="TOCLine"/>
        <w:tabs>
          <w:tab w:val="right" w:pos="9694"/>
        </w:tabs>
        <w:ind w:left="317"/>
      </w:pPr>
      <w:hyperlink w:anchor="h38">
        <w:r>
          <w:rPr>
            <w:color w:val="526373"/>
          </w:rPr>
          <w:t>4.1.3  Valutazione del rischio inerente</w:t>
        </w:r>
      </w:hyperlink>
      <w:r>
        <w:tab/>
      </w:r>
      <w:bookmarkStart w:id="37" w:name="toc_h38"/>
      <w:r>
        <w:fldChar w:fldCharType="begin"/>
      </w:r>
      <w:r>
        <w:instrText>PAGEREF h38 \h</w:instrText>
      </w:r>
      <w:r>
        <w:fldChar w:fldCharType="separate"/>
      </w:r>
      <w:r w:rsidR="00FD57A3">
        <w:rPr>
          <w:noProof/>
        </w:rPr>
        <w:t>1</w:t>
      </w:r>
      <w:r>
        <w:fldChar w:fldCharType="end"/>
      </w:r>
      <w:bookmarkEnd w:id="37"/>
    </w:p>
    <w:p w14:paraId="6582FB44" w14:textId="77777777" w:rsidR="006A7F6D" w:rsidRDefault="00000000">
      <w:pPr>
        <w:pStyle w:val="TOCLine"/>
        <w:tabs>
          <w:tab w:val="right" w:pos="9694"/>
        </w:tabs>
        <w:ind w:left="159"/>
      </w:pPr>
      <w:hyperlink w:anchor="h39">
        <w:r>
          <w:rPr>
            <w:color w:val="526373"/>
          </w:rPr>
          <w:t>4.2  Piano d’azione</w:t>
        </w:r>
      </w:hyperlink>
      <w:r>
        <w:tab/>
      </w:r>
      <w:bookmarkStart w:id="38" w:name="toc_h39"/>
      <w:r>
        <w:fldChar w:fldCharType="begin"/>
      </w:r>
      <w:r>
        <w:instrText>PAGEREF h39 \h</w:instrText>
      </w:r>
      <w:r>
        <w:fldChar w:fldCharType="separate"/>
      </w:r>
      <w:r w:rsidR="00FD57A3">
        <w:rPr>
          <w:noProof/>
        </w:rPr>
        <w:t>1</w:t>
      </w:r>
      <w:r>
        <w:fldChar w:fldCharType="end"/>
      </w:r>
      <w:bookmarkEnd w:id="38"/>
    </w:p>
    <w:p w14:paraId="6CEE400F" w14:textId="77777777" w:rsidR="006A7F6D" w:rsidRDefault="00000000">
      <w:pPr>
        <w:pStyle w:val="TOCLine"/>
        <w:tabs>
          <w:tab w:val="right" w:pos="9694"/>
        </w:tabs>
        <w:ind w:left="317"/>
      </w:pPr>
      <w:hyperlink w:anchor="h40">
        <w:r>
          <w:rPr>
            <w:color w:val="526373"/>
          </w:rPr>
          <w:t>4.2.1  Misure aggiuntive di mitigazione</w:t>
        </w:r>
      </w:hyperlink>
      <w:r>
        <w:tab/>
      </w:r>
      <w:bookmarkStart w:id="39" w:name="toc_h40"/>
      <w:r>
        <w:fldChar w:fldCharType="begin"/>
      </w:r>
      <w:r>
        <w:instrText>PAGEREF h40 \h</w:instrText>
      </w:r>
      <w:r>
        <w:fldChar w:fldCharType="separate"/>
      </w:r>
      <w:r w:rsidR="00FD57A3">
        <w:rPr>
          <w:noProof/>
        </w:rPr>
        <w:t>1</w:t>
      </w:r>
      <w:r>
        <w:fldChar w:fldCharType="end"/>
      </w:r>
      <w:bookmarkEnd w:id="39"/>
    </w:p>
    <w:p w14:paraId="0B1C6FEC" w14:textId="77777777" w:rsidR="006A7F6D" w:rsidRDefault="00000000">
      <w:pPr>
        <w:pStyle w:val="TOCLine"/>
        <w:tabs>
          <w:tab w:val="right" w:pos="9694"/>
        </w:tabs>
        <w:ind w:left="317"/>
      </w:pPr>
      <w:hyperlink w:anchor="h41">
        <w:r>
          <w:rPr>
            <w:color w:val="526373"/>
          </w:rPr>
          <w:t>4.2.2  Valutazione del rischio residuo</w:t>
        </w:r>
      </w:hyperlink>
      <w:r>
        <w:tab/>
      </w:r>
      <w:bookmarkStart w:id="40" w:name="toc_h41"/>
      <w:r>
        <w:fldChar w:fldCharType="begin"/>
      </w:r>
      <w:r>
        <w:instrText>PAGEREF h41 \h</w:instrText>
      </w:r>
      <w:r>
        <w:fldChar w:fldCharType="separate"/>
      </w:r>
      <w:r w:rsidR="00FD57A3">
        <w:rPr>
          <w:noProof/>
        </w:rPr>
        <w:t>1</w:t>
      </w:r>
      <w:r>
        <w:fldChar w:fldCharType="end"/>
      </w:r>
      <w:bookmarkEnd w:id="40"/>
    </w:p>
    <w:p w14:paraId="5CFE5692" w14:textId="77777777" w:rsidR="006A7F6D" w:rsidRDefault="00000000">
      <w:pPr>
        <w:pStyle w:val="TOCLine"/>
        <w:tabs>
          <w:tab w:val="right" w:pos="9694"/>
        </w:tabs>
        <w:ind w:left="317"/>
      </w:pPr>
      <w:hyperlink w:anchor="h42">
        <w:r>
          <w:rPr>
            <w:color w:val="526373"/>
          </w:rPr>
          <w:t>4.2.3  Piano</w:t>
        </w:r>
      </w:hyperlink>
      <w:r>
        <w:tab/>
      </w:r>
      <w:bookmarkStart w:id="41" w:name="toc_h42"/>
      <w:r>
        <w:fldChar w:fldCharType="begin"/>
      </w:r>
      <w:r>
        <w:instrText>PAGEREF h42 \h</w:instrText>
      </w:r>
      <w:r>
        <w:fldChar w:fldCharType="separate"/>
      </w:r>
      <w:r w:rsidR="00FD57A3">
        <w:rPr>
          <w:noProof/>
        </w:rPr>
        <w:t>1</w:t>
      </w:r>
      <w:r>
        <w:fldChar w:fldCharType="end"/>
      </w:r>
      <w:bookmarkEnd w:id="41"/>
    </w:p>
    <w:p w14:paraId="244C14D4" w14:textId="77777777" w:rsidR="006A7F6D" w:rsidRDefault="00000000">
      <w:pPr>
        <w:pStyle w:val="TOCLine"/>
        <w:tabs>
          <w:tab w:val="right" w:pos="9694"/>
        </w:tabs>
      </w:pPr>
      <w:hyperlink w:anchor="h43">
        <w:r>
          <w:rPr>
            <w:b/>
            <w:color w:val="17324D"/>
          </w:rPr>
          <w:t>5  COINVOLGIMENTO DELLE PARTI INTERESSATE</w:t>
        </w:r>
      </w:hyperlink>
      <w:r>
        <w:tab/>
      </w:r>
      <w:bookmarkStart w:id="42" w:name="toc_h43"/>
      <w:r>
        <w:fldChar w:fldCharType="begin"/>
      </w:r>
      <w:r>
        <w:instrText>PAGEREF h43 \h</w:instrText>
      </w:r>
      <w:r>
        <w:fldChar w:fldCharType="separate"/>
      </w:r>
      <w:r w:rsidR="00FD57A3">
        <w:rPr>
          <w:noProof/>
        </w:rPr>
        <w:t>1</w:t>
      </w:r>
      <w:r>
        <w:fldChar w:fldCharType="end"/>
      </w:r>
      <w:bookmarkEnd w:id="42"/>
    </w:p>
    <w:p w14:paraId="15C7D12D" w14:textId="77777777" w:rsidR="006A7F6D" w:rsidRDefault="00000000">
      <w:pPr>
        <w:pStyle w:val="TOCLine"/>
        <w:tabs>
          <w:tab w:val="right" w:pos="9694"/>
        </w:tabs>
        <w:ind w:left="159"/>
      </w:pPr>
      <w:hyperlink w:anchor="h44">
        <w:r>
          <w:rPr>
            <w:color w:val="526373"/>
          </w:rPr>
          <w:t>5.1  Parere del DPO</w:t>
        </w:r>
      </w:hyperlink>
      <w:r>
        <w:tab/>
      </w:r>
      <w:bookmarkStart w:id="43" w:name="toc_h44"/>
      <w:r>
        <w:fldChar w:fldCharType="begin"/>
      </w:r>
      <w:r>
        <w:instrText>PAGEREF h44 \h</w:instrText>
      </w:r>
      <w:r>
        <w:fldChar w:fldCharType="separate"/>
      </w:r>
      <w:r w:rsidR="00FD57A3">
        <w:rPr>
          <w:noProof/>
        </w:rPr>
        <w:t>1</w:t>
      </w:r>
      <w:r>
        <w:fldChar w:fldCharType="end"/>
      </w:r>
      <w:bookmarkEnd w:id="43"/>
    </w:p>
    <w:p w14:paraId="2DB05BC1" w14:textId="77777777" w:rsidR="006A7F6D" w:rsidRDefault="00000000">
      <w:pPr>
        <w:pStyle w:val="TOCLine"/>
        <w:tabs>
          <w:tab w:val="right" w:pos="9694"/>
        </w:tabs>
        <w:ind w:left="159"/>
      </w:pPr>
      <w:hyperlink w:anchor="h45">
        <w:r>
          <w:rPr>
            <w:color w:val="526373"/>
          </w:rPr>
          <w:t>5.2  Opinioni degli interessati o dei loro rappresentanti</w:t>
        </w:r>
      </w:hyperlink>
      <w:r>
        <w:tab/>
      </w:r>
      <w:bookmarkStart w:id="44" w:name="toc_h45"/>
      <w:r>
        <w:fldChar w:fldCharType="begin"/>
      </w:r>
      <w:r>
        <w:instrText>PAGEREF h45 \h</w:instrText>
      </w:r>
      <w:r>
        <w:fldChar w:fldCharType="separate"/>
      </w:r>
      <w:r w:rsidR="00FD57A3">
        <w:rPr>
          <w:noProof/>
        </w:rPr>
        <w:t>1</w:t>
      </w:r>
      <w:r>
        <w:fldChar w:fldCharType="end"/>
      </w:r>
      <w:bookmarkEnd w:id="44"/>
    </w:p>
    <w:p w14:paraId="61BCBBA0" w14:textId="77777777" w:rsidR="006A7F6D" w:rsidRDefault="00000000">
      <w:pPr>
        <w:pStyle w:val="TOCLine"/>
        <w:tabs>
          <w:tab w:val="right" w:pos="9694"/>
        </w:tabs>
      </w:pPr>
      <w:hyperlink w:anchor="h46">
        <w:r>
          <w:rPr>
            <w:b/>
            <w:color w:val="17324D"/>
          </w:rPr>
          <w:t>6  CONCLUSIONI E DECISIONE</w:t>
        </w:r>
      </w:hyperlink>
      <w:r>
        <w:tab/>
      </w:r>
      <w:bookmarkStart w:id="45" w:name="toc_h46"/>
      <w:r>
        <w:fldChar w:fldCharType="begin"/>
      </w:r>
      <w:r>
        <w:instrText>PAGEREF h46 \h</w:instrText>
      </w:r>
      <w:r>
        <w:fldChar w:fldCharType="separate"/>
      </w:r>
      <w:r w:rsidR="00FD57A3">
        <w:rPr>
          <w:noProof/>
        </w:rPr>
        <w:t>1</w:t>
      </w:r>
      <w:r>
        <w:fldChar w:fldCharType="end"/>
      </w:r>
      <w:bookmarkEnd w:id="45"/>
    </w:p>
    <w:p w14:paraId="2076D207" w14:textId="77777777" w:rsidR="006A7F6D" w:rsidRDefault="00000000">
      <w:pPr>
        <w:pStyle w:val="TOCLine"/>
        <w:tabs>
          <w:tab w:val="right" w:pos="9694"/>
        </w:tabs>
      </w:pPr>
      <w:hyperlink w:anchor="h47">
        <w:r>
          <w:rPr>
            <w:b/>
            <w:color w:val="17324D"/>
          </w:rPr>
          <w:t>Allegato 1 — LINEE GUIDA DELLE AUTORITÀ DI CONTROLLO PER LO SVOLGIMENTO DELLE DPIA</w:t>
        </w:r>
      </w:hyperlink>
      <w:r>
        <w:tab/>
      </w:r>
      <w:bookmarkStart w:id="46" w:name="toc_h47"/>
      <w:r>
        <w:fldChar w:fldCharType="begin"/>
      </w:r>
      <w:r>
        <w:instrText>PAGEREF h47 \h</w:instrText>
      </w:r>
      <w:r>
        <w:fldChar w:fldCharType="separate"/>
      </w:r>
      <w:r w:rsidR="00FD57A3">
        <w:rPr>
          <w:noProof/>
        </w:rPr>
        <w:t>1</w:t>
      </w:r>
      <w:r>
        <w:fldChar w:fldCharType="end"/>
      </w:r>
      <w:bookmarkEnd w:id="46"/>
    </w:p>
    <w:p w14:paraId="09641569" w14:textId="77777777" w:rsidR="006A7F6D" w:rsidRDefault="006A7F6D"/>
    <w:p w14:paraId="5F961FD4" w14:textId="77777777" w:rsidR="006A7F6D" w:rsidRDefault="00000000">
      <w:r>
        <w:br w:type="page"/>
      </w:r>
    </w:p>
    <w:p w14:paraId="1D4FFB2F" w14:textId="77777777" w:rsidR="006A7F6D" w:rsidRDefault="00000000">
      <w:pPr>
        <w:pStyle w:val="Titolo1"/>
      </w:pPr>
      <w:bookmarkStart w:id="47" w:name="h1"/>
      <w:r>
        <w:t>Introduzione</w:t>
      </w:r>
      <w:bookmarkEnd w:id="47"/>
    </w:p>
    <w:p w14:paraId="2063F485" w14:textId="77777777" w:rsidR="006A7F6D" w:rsidRDefault="00000000">
      <w:r>
        <w:t>Il Comitato europeo per la protezione dei dati ha adottato il seguente modello — guida esplicativa:</w:t>
      </w:r>
    </w:p>
    <w:p w14:paraId="35A85FDE" w14:textId="77777777" w:rsidR="006A7F6D" w:rsidRDefault="00000000">
      <w:r>
        <w:t>Il modello EDPB può essere utilizzato come strumento di raccolta delle informazioni per documentare e rendicontare una valutazione d’impatto sulla protezione dei dati («DPIA»). I titolari del trattamento possono beneficiare di campi predefiniti che favoriscono risposte complete e strutturate. Progettato per essere semplice da utilizzare, il modello consente di acquisire con precisione tutte le informazioni necessarie, riducendo al minimo gli errori e risparmiando tempo.</w:t>
      </w:r>
    </w:p>
    <w:p w14:paraId="1772A16A" w14:textId="77777777" w:rsidR="006A7F6D" w:rsidRDefault="00000000">
      <w:r>
        <w:t>Il presente documento esplicativo fornisce indicazioni sintetiche per compilare efficacemente il modello. Si tratta esclusivamente di uno strumento esplicativo, destinato a essere utile sia ai titolari del trattamento sia alle Autorità di controllo, e non preclude la pubblicazione di ulteriori spiegazioni, supporti visivi o guide.</w:t>
      </w:r>
    </w:p>
    <w:p w14:paraId="23A72A37" w14:textId="77777777" w:rsidR="006A7F6D" w:rsidRDefault="00000000">
      <w:r>
        <w:t>I titolari del trattamento possono condurre i propri processi di analisi e gestione del rischio nel modo che preferiscono, utilizzando la metodologia DPIA di loro scelta (si veda l’Allegato A). Il modello EDPB costituisce una modalità per registrare i risultati più importanti, ossia un insieme minimo di informazioni che dovrebbe essere sempre documentato, nel formato adottato dall’EDPB e facilmente accettato da tutte le Autorità di controllo.</w:t>
      </w:r>
    </w:p>
    <w:p w14:paraId="5F0B3720" w14:textId="77777777" w:rsidR="006A7F6D" w:rsidRDefault="00000000">
      <w:r>
        <w:t>Si raccomanda di esaminare l’intero modello prima di iniziare, per comprenderne il percorso, raccogliere tutti i dati necessari (quali date, descrizioni ed evidenze o documentazione di supporto), utilizzare un linguaggio conciso e approfondire soltanto dove siano richieste maggiori spiegazioni. Una certa ridondanza tra le sezioni del modello DPIA assicura che ciascun elemento obbligatorio sia affrontato esplicitamente e in modo tracciabile, consentendo nel contempo i rinvii incrociati. Inoltre, lo stesso fatto svolge funzioni diverse nelle varie sezioni. Occorre assicurare, quando necessario, opportuni collegamenti tra le sezioni e fornire informazioni coerenti nelle diverse tabelle.</w:t>
      </w:r>
    </w:p>
    <w:p w14:paraId="4C4EBAD7" w14:textId="77777777" w:rsidR="006A7F6D" w:rsidRDefault="00000000">
      <w:r>
        <w:br w:type="page"/>
      </w:r>
    </w:p>
    <w:p w14:paraId="03629962" w14:textId="77777777" w:rsidR="006A7F6D" w:rsidRDefault="00000000">
      <w:pPr>
        <w:pStyle w:val="Titolo1"/>
      </w:pPr>
      <w:bookmarkStart w:id="48" w:name="h2"/>
      <w:r>
        <w:t>0  PANORAMICA DEL TRATTAMENTO</w:t>
      </w:r>
      <w:bookmarkEnd w:id="48"/>
    </w:p>
    <w:p w14:paraId="78A2FED1" w14:textId="77777777" w:rsidR="006A7F6D" w:rsidRDefault="00000000">
      <w:pPr>
        <w:pStyle w:val="Titolo2"/>
        <w:spacing w:before="120" w:after="80"/>
      </w:pPr>
      <w:bookmarkStart w:id="49" w:name="h3"/>
      <w:r>
        <w:t>0.1  Titolare/i del trattamento</w:t>
      </w:r>
      <w:bookmarkEnd w:id="49"/>
    </w:p>
    <w:p w14:paraId="20169D4D" w14:textId="77777777" w:rsidR="006A7F6D" w:rsidRDefault="00000000">
      <w:pPr>
        <w:spacing w:after="80" w:line="247" w:lineRule="auto"/>
        <w:ind w:left="397" w:hanging="397"/>
      </w:pPr>
      <w:r>
        <w:rPr>
          <w:b/>
          <w:color w:val="126F78"/>
        </w:rPr>
        <w:t>0</w:t>
      </w:r>
      <w:r>
        <w:rPr>
          <w:b/>
          <w:color w:val="126F78"/>
        </w:rPr>
        <w:tab/>
      </w:r>
      <w:r>
        <w:t>Identificare il titolare del trattamento ai sensi del GDPR. Fornire tutti i recapiti necessari (unità organizzative responsabili del trattamento all’interno dell’organizzazione, stabilimento principale e punto di contatto, rappresentante, DPO, ecc.). Se applicabile, identificare i contitolari del trattamento. Definire chiaramente gli obblighi e i compiti di ciascuna parte</w:t>
      </w:r>
      <w:r>
        <w:rPr>
          <w:color w:val="126F78"/>
          <w:sz w:val="18"/>
          <w:vertAlign w:val="superscript"/>
        </w:rPr>
        <w:footnoteReference w:id="1"/>
      </w:r>
      <w:r>
        <w:t>.</w:t>
      </w:r>
    </w:p>
    <w:p w14:paraId="1E9D52BD" w14:textId="77777777" w:rsidR="006A7F6D" w:rsidRDefault="00000000">
      <w:pPr>
        <w:pStyle w:val="Titolo2"/>
        <w:spacing w:before="120" w:after="80"/>
      </w:pPr>
      <w:bookmarkStart w:id="50" w:name="h4"/>
      <w:r>
        <w:t>0.2  Responsabile/i e sub-responsabile/i del trattamento</w:t>
      </w:r>
      <w:bookmarkEnd w:id="50"/>
    </w:p>
    <w:p w14:paraId="147BE63E" w14:textId="77777777" w:rsidR="006A7F6D" w:rsidRDefault="00000000">
      <w:pPr>
        <w:spacing w:after="80" w:line="247" w:lineRule="auto"/>
        <w:ind w:left="397" w:hanging="397"/>
      </w:pPr>
      <w:r>
        <w:rPr>
          <w:b/>
          <w:color w:val="126F78"/>
        </w:rPr>
        <w:t>1</w:t>
      </w:r>
      <w:r>
        <w:rPr>
          <w:b/>
          <w:color w:val="126F78"/>
        </w:rPr>
        <w:tab/>
      </w:r>
      <w:r>
        <w:t>Identificare i responsabili e i sub-responsabili coinvolti nel trattamento, definendone in modo inequivocabile gli obblighi e i compiti</w:t>
      </w:r>
      <w:r>
        <w:rPr>
          <w:color w:val="126F78"/>
          <w:sz w:val="18"/>
          <w:vertAlign w:val="superscript"/>
        </w:rPr>
        <w:t>1</w:t>
      </w:r>
      <w:r>
        <w:t>.</w:t>
      </w:r>
    </w:p>
    <w:p w14:paraId="703C9A3C" w14:textId="77777777" w:rsidR="006A7F6D" w:rsidRDefault="00000000">
      <w:pPr>
        <w:pStyle w:val="Titolo2"/>
        <w:spacing w:before="120" w:after="80"/>
      </w:pPr>
      <w:bookmarkStart w:id="51" w:name="h5"/>
      <w:r>
        <w:t>0.3  Denominazione del trattamento</w:t>
      </w:r>
      <w:bookmarkEnd w:id="51"/>
    </w:p>
    <w:p w14:paraId="5FF5D519" w14:textId="77777777" w:rsidR="006A7F6D" w:rsidRDefault="00000000">
      <w:pPr>
        <w:spacing w:after="80" w:line="247" w:lineRule="auto"/>
        <w:ind w:left="397" w:hanging="397"/>
      </w:pPr>
      <w:r>
        <w:rPr>
          <w:b/>
          <w:color w:val="126F78"/>
        </w:rPr>
        <w:t>2</w:t>
      </w:r>
      <w:r>
        <w:rPr>
          <w:b/>
          <w:color w:val="126F78"/>
        </w:rPr>
        <w:tab/>
      </w:r>
      <w:r>
        <w:t>Indicare la denominazione interna attribuita al trattamento (quella utilizzata nel registro delle attività di trattamento) e, se possibile, identificarne la versione attuale, illustrando la cronologia delle eventuali modifiche apportate in passato al trattamento.</w:t>
      </w:r>
    </w:p>
    <w:p w14:paraId="74FD1019" w14:textId="77777777" w:rsidR="006A7F6D" w:rsidRDefault="00000000">
      <w:pPr>
        <w:pStyle w:val="Titolo2"/>
        <w:spacing w:before="120" w:after="80"/>
      </w:pPr>
      <w:bookmarkStart w:id="52" w:name="h6"/>
      <w:r>
        <w:t>0.4  Pianificazione del trattamento</w:t>
      </w:r>
      <w:bookmarkEnd w:id="52"/>
    </w:p>
    <w:p w14:paraId="2B5F7E21" w14:textId="77777777" w:rsidR="006A7F6D" w:rsidRDefault="00000000">
      <w:pPr>
        <w:spacing w:after="80" w:line="247" w:lineRule="auto"/>
        <w:ind w:left="397" w:hanging="397"/>
      </w:pPr>
      <w:r>
        <w:rPr>
          <w:b/>
          <w:color w:val="126F78"/>
        </w:rPr>
        <w:t>3</w:t>
      </w:r>
      <w:r>
        <w:rPr>
          <w:b/>
          <w:color w:val="126F78"/>
        </w:rPr>
        <w:tab/>
      </w:r>
      <w:r>
        <w:t>Indicare la data di avvio prevista dal titolare del trattamento.</w:t>
      </w:r>
    </w:p>
    <w:p w14:paraId="097672F6" w14:textId="77777777" w:rsidR="006A7F6D" w:rsidRDefault="00000000">
      <w:pPr>
        <w:spacing w:after="80" w:line="247" w:lineRule="auto"/>
        <w:ind w:left="397" w:hanging="397"/>
      </w:pPr>
      <w:r>
        <w:rPr>
          <w:b/>
          <w:color w:val="126F78"/>
        </w:rPr>
        <w:t>4</w:t>
      </w:r>
      <w:r>
        <w:rPr>
          <w:b/>
          <w:color w:val="126F78"/>
        </w:rPr>
        <w:tab/>
      </w:r>
      <w:r>
        <w:t>Indicare la data di conclusione prevista o le condizioni di cessazione, se applicabili, ad esempio perché il trattamento è temporaneo ed è associato a un progetto di durata limitata.</w:t>
      </w:r>
    </w:p>
    <w:p w14:paraId="2024F8F9" w14:textId="77777777" w:rsidR="006A7F6D" w:rsidRDefault="00000000">
      <w:pPr>
        <w:pStyle w:val="Titolo2"/>
        <w:spacing w:before="120" w:after="80"/>
      </w:pPr>
      <w:bookmarkStart w:id="53" w:name="h7"/>
      <w:r>
        <w:t>0.5  Scheda tecnica della DPIA</w:t>
      </w:r>
      <w:bookmarkEnd w:id="53"/>
    </w:p>
    <w:p w14:paraId="45702560" w14:textId="77777777" w:rsidR="006A7F6D" w:rsidRDefault="00000000">
      <w:pPr>
        <w:spacing w:after="80" w:line="247" w:lineRule="auto"/>
        <w:ind w:left="397" w:hanging="397"/>
      </w:pPr>
      <w:r>
        <w:rPr>
          <w:b/>
          <w:color w:val="126F78"/>
        </w:rPr>
        <w:t>5</w:t>
      </w:r>
      <w:r>
        <w:rPr>
          <w:b/>
          <w:color w:val="126F78"/>
        </w:rPr>
        <w:tab/>
      </w:r>
      <w:r>
        <w:t>Identificare la versione attuale del modello DPIA e fornire un registro delle versioni, illustrando la cronologia delle eventuali modifiche apportate alle informazioni contenute nel modello DPIA relativo a questo trattamento.</w:t>
      </w:r>
    </w:p>
    <w:p w14:paraId="7A56A133" w14:textId="77777777" w:rsidR="006A7F6D" w:rsidRDefault="00000000">
      <w:pPr>
        <w:spacing w:after="80" w:line="247" w:lineRule="auto"/>
        <w:ind w:left="397" w:hanging="397"/>
      </w:pPr>
      <w:r>
        <w:rPr>
          <w:b/>
          <w:color w:val="126F78"/>
        </w:rPr>
        <w:t>6</w:t>
      </w:r>
      <w:r>
        <w:rPr>
          <w:b/>
          <w:color w:val="126F78"/>
        </w:rPr>
        <w:tab/>
      </w:r>
      <w:r>
        <w:t>Identificare il gruppo di lavoro coinvolto nello svolgimento della DPIA. È possibile fornire dettagli su ruoli, compiti, responsabilità, ecc. Può essere utilizzata una matrice RACI (Responsible, Accountable, Consulted, Informed: responsabile operativo, responsabile ultimo, consultato, informato).</w:t>
      </w:r>
    </w:p>
    <w:p w14:paraId="68730CBF" w14:textId="77777777" w:rsidR="006A7F6D" w:rsidRDefault="00000000">
      <w:pPr>
        <w:spacing w:after="80" w:line="247" w:lineRule="auto"/>
        <w:ind w:left="397" w:hanging="397"/>
      </w:pPr>
      <w:r>
        <w:rPr>
          <w:b/>
          <w:color w:val="126F78"/>
        </w:rPr>
        <w:t>7</w:t>
      </w:r>
      <w:r>
        <w:rPr>
          <w:b/>
          <w:color w:val="126F78"/>
        </w:rPr>
        <w:tab/>
      </w:r>
      <w:r>
        <w:t>Elencare le linee guida, gli standard, i codici di condotta e gli altri materiali di riferimento utilizzati per svolgere la DPIA</w:t>
      </w:r>
      <w:r>
        <w:rPr>
          <w:color w:val="126F78"/>
          <w:sz w:val="18"/>
          <w:vertAlign w:val="superscript"/>
        </w:rPr>
        <w:footnoteReference w:id="2"/>
      </w:r>
      <w:r>
        <w:t>.</w:t>
      </w:r>
    </w:p>
    <w:p w14:paraId="20BCF8E5" w14:textId="77777777" w:rsidR="006A7F6D" w:rsidRDefault="00000000">
      <w:pPr>
        <w:spacing w:after="80" w:line="247" w:lineRule="auto"/>
        <w:ind w:left="397" w:hanging="397"/>
      </w:pPr>
      <w:r>
        <w:rPr>
          <w:b/>
          <w:color w:val="126F78"/>
        </w:rPr>
        <w:t>8</w:t>
      </w:r>
      <w:r>
        <w:rPr>
          <w:b/>
          <w:color w:val="126F78"/>
        </w:rPr>
        <w:tab/>
      </w:r>
      <w:r>
        <w:t>Spiegare le ragioni per cui viene svolta la DPIA</w:t>
      </w:r>
      <w:r>
        <w:rPr>
          <w:color w:val="126F78"/>
          <w:sz w:val="18"/>
          <w:vertAlign w:val="superscript"/>
        </w:rPr>
        <w:footnoteReference w:id="3"/>
      </w:r>
      <w:r>
        <w:t>. Può essere obbligatoria oppure possono sussistere ragioni che, secondo il titolare del trattamento, la rendono necessaria o utile. È possibile selezionare più di una casella.</w:t>
      </w:r>
    </w:p>
    <w:p w14:paraId="0CA52630" w14:textId="77777777" w:rsidR="006A7F6D" w:rsidRDefault="00000000">
      <w:pPr>
        <w:spacing w:after="80" w:line="247" w:lineRule="auto"/>
        <w:ind w:left="397" w:hanging="397"/>
      </w:pPr>
      <w:r>
        <w:rPr>
          <w:b/>
          <w:color w:val="126F78"/>
        </w:rPr>
        <w:t>9</w:t>
      </w:r>
      <w:r>
        <w:rPr>
          <w:b/>
          <w:color w:val="126F78"/>
        </w:rPr>
        <w:tab/>
      </w:r>
      <w:r>
        <w:t>Chiarire il perimetro della DPIA: identificare ciò che è stato considerato e ciò che è stato escluso dalla valutazione, motivando le esclusioni e precisando i confini della valutazione stessa.</w:t>
      </w:r>
    </w:p>
    <w:p w14:paraId="36B6AD5F" w14:textId="77777777" w:rsidR="006A7F6D" w:rsidRDefault="00000000">
      <w:pPr>
        <w:spacing w:after="80" w:line="247" w:lineRule="auto"/>
        <w:ind w:left="397" w:hanging="397"/>
      </w:pPr>
      <w:r>
        <w:rPr>
          <w:b/>
          <w:color w:val="126F78"/>
        </w:rPr>
        <w:t>10</w:t>
      </w:r>
      <w:r>
        <w:rPr>
          <w:b/>
          <w:color w:val="126F78"/>
        </w:rPr>
        <w:tab/>
      </w:r>
      <w:r>
        <w:t>Indicare la data di completamento e la data di validazione formale: la DPIA deve essere formalmente approvata come completa e conclusa da un esponente responsabile dell’organizzazione (direttore generale, amministratore delegato, ecc.). Il modello DPIA può includere timbro e firma. Potrebbero essere richieste informazioni sulle modalità decisionali, di validazione, monitoraggio e riesame della DPIA; tali informazioni dovrebbero essere documentate altrove, anche se non sono incluse nel presente modello.</w:t>
      </w:r>
    </w:p>
    <w:p w14:paraId="1925D641" w14:textId="77777777" w:rsidR="006A7F6D" w:rsidRDefault="00000000">
      <w:pPr>
        <w:spacing w:after="80" w:line="247" w:lineRule="auto"/>
        <w:ind w:left="397" w:hanging="397"/>
      </w:pPr>
      <w:r>
        <w:rPr>
          <w:b/>
          <w:color w:val="126F78"/>
        </w:rPr>
        <w:t>11</w:t>
      </w:r>
      <w:r>
        <w:rPr>
          <w:b/>
          <w:color w:val="126F78"/>
        </w:rPr>
        <w:tab/>
      </w:r>
      <w:r>
        <w:t>Spiegare se e in quale misura si intenda pubblicare la DPIA o condividerla all’esterno. Sebbene ciò possa costituire una buona pratica in termini di trasparenza, non dovrebbero essere pubblicate informazioni sensibili, ad esempio quelle riguardanti la sicurezza.</w:t>
      </w:r>
    </w:p>
    <w:p w14:paraId="5B992CB1" w14:textId="77777777" w:rsidR="006A7F6D" w:rsidRDefault="00000000">
      <w:r>
        <w:br w:type="page"/>
      </w:r>
    </w:p>
    <w:p w14:paraId="1E545B2B" w14:textId="77777777" w:rsidR="006A7F6D" w:rsidRDefault="00000000">
      <w:pPr>
        <w:pStyle w:val="Titolo1"/>
      </w:pPr>
      <w:bookmarkStart w:id="54" w:name="h8"/>
      <w:r>
        <w:t>1  DESCRIZIONE SISTEMATICA DEL TRATTAMENTO</w:t>
      </w:r>
      <w:bookmarkEnd w:id="54"/>
    </w:p>
    <w:p w14:paraId="253A446F" w14:textId="77777777" w:rsidR="006A7F6D" w:rsidRDefault="00000000">
      <w:pPr>
        <w:pStyle w:val="Titolo2"/>
      </w:pPr>
      <w:bookmarkStart w:id="55" w:name="h9"/>
      <w:r>
        <w:t>1.1  Descrizione generale del trattamento</w:t>
      </w:r>
      <w:bookmarkEnd w:id="55"/>
    </w:p>
    <w:p w14:paraId="47601890" w14:textId="77777777" w:rsidR="006A7F6D" w:rsidRDefault="00000000">
      <w:pPr>
        <w:pStyle w:val="Titolo3"/>
      </w:pPr>
      <w:bookmarkStart w:id="56" w:name="h10"/>
      <w:r>
        <w:t>1.1.1  Dati personali trattati</w:t>
      </w:r>
      <w:bookmarkEnd w:id="56"/>
    </w:p>
    <w:p w14:paraId="4C9B15AB" w14:textId="77777777" w:rsidR="006A7F6D" w:rsidRDefault="00000000">
      <w:pPr>
        <w:ind w:left="397" w:hanging="397"/>
      </w:pPr>
      <w:r>
        <w:rPr>
          <w:b/>
          <w:color w:val="126F78"/>
        </w:rPr>
        <w:t>12</w:t>
      </w:r>
      <w:r>
        <w:rPr>
          <w:b/>
          <w:color w:val="126F78"/>
        </w:rPr>
        <w:tab/>
      </w:r>
      <w:r>
        <w:t>Elencare i dati personali trattati (singoli dati o elementi, tipologia di dati, categoria di interessati, ecc.). Se applicabile, identificare le categorie particolari di dati personali.</w:t>
      </w:r>
    </w:p>
    <w:p w14:paraId="749B144A" w14:textId="77777777" w:rsidR="006A7F6D" w:rsidRDefault="00000000">
      <w:pPr>
        <w:pStyle w:val="Titolo3"/>
      </w:pPr>
      <w:bookmarkStart w:id="57" w:name="h11"/>
      <w:r>
        <w:t>1.1.2  Finalità del trattamento</w:t>
      </w:r>
      <w:bookmarkEnd w:id="57"/>
    </w:p>
    <w:p w14:paraId="7C664C8C" w14:textId="77777777" w:rsidR="006A7F6D" w:rsidRDefault="00000000">
      <w:pPr>
        <w:ind w:left="397" w:hanging="397"/>
      </w:pPr>
      <w:r>
        <w:rPr>
          <w:b/>
          <w:color w:val="126F78"/>
        </w:rPr>
        <w:t>13</w:t>
      </w:r>
      <w:r>
        <w:rPr>
          <w:b/>
          <w:color w:val="126F78"/>
        </w:rPr>
        <w:tab/>
      </w:r>
      <w:r>
        <w:t>Identificare le ragioni specifiche ed esplicite per cui vengono trattati i dati personali elencati nella sezione 1.1.1. Considerare gli obiettivi che il trattamento intende conseguire, i suoi obiettivi generali in termini operativi e il modo in cui contribuisce al risultato, ad esempio sostenendo un processo aziendale, l’attuazione di una politica, l’esperienza utente (UX) e l’accessibilità oppure obiettivi di sicurezza e protezione.</w:t>
      </w:r>
    </w:p>
    <w:p w14:paraId="7B9385D3" w14:textId="77777777" w:rsidR="006A7F6D" w:rsidRDefault="00000000">
      <w:pPr>
        <w:pStyle w:val="Titolo3"/>
      </w:pPr>
      <w:bookmarkStart w:id="58" w:name="h12"/>
      <w:r>
        <w:t>1.1.3  Utilizzi secondari o compatibili</w:t>
      </w:r>
      <w:bookmarkEnd w:id="58"/>
    </w:p>
    <w:p w14:paraId="6581F04D" w14:textId="77777777" w:rsidR="006A7F6D" w:rsidRDefault="00000000">
      <w:pPr>
        <w:ind w:left="397" w:hanging="397"/>
      </w:pPr>
      <w:r>
        <w:rPr>
          <w:b/>
          <w:color w:val="126F78"/>
        </w:rPr>
        <w:t>14</w:t>
      </w:r>
      <w:r>
        <w:rPr>
          <w:b/>
          <w:color w:val="126F78"/>
        </w:rPr>
        <w:tab/>
      </w:r>
      <w:r>
        <w:t>Rinviare a un’analisi esistente, documentata altrove e non nel presente modello, oppure esaminare eventuali utilizzi secondari o compatibili dei dati (valutazione di compatibilità). Dichiarare chiaramente se i dati elencati nella sezione 1.1.1 possano essere riutilizzati per un’altra finalità e a quali condizioni, applicando il principio di limitazione della finalità.</w:t>
      </w:r>
    </w:p>
    <w:p w14:paraId="44ECB588" w14:textId="77777777" w:rsidR="006A7F6D" w:rsidRDefault="00000000">
      <w:pPr>
        <w:pStyle w:val="Titolo3"/>
      </w:pPr>
      <w:bookmarkStart w:id="59" w:name="h13"/>
      <w:r>
        <w:t>1.1.4  Natura, ambito di applicazione e contesto del trattamento</w:t>
      </w:r>
      <w:bookmarkEnd w:id="59"/>
    </w:p>
    <w:p w14:paraId="47FCEA0A" w14:textId="77777777" w:rsidR="006A7F6D" w:rsidRDefault="00000000">
      <w:pPr>
        <w:ind w:left="397" w:hanging="397"/>
      </w:pPr>
      <w:r>
        <w:rPr>
          <w:b/>
          <w:color w:val="126F78"/>
        </w:rPr>
        <w:t>15</w:t>
      </w:r>
      <w:r>
        <w:rPr>
          <w:b/>
          <w:color w:val="126F78"/>
        </w:rPr>
        <w:tab/>
      </w:r>
      <w:r>
        <w:t>Descrivere la natura del trattamento: il modo in cui saranno gestiti i dati personali (operazioni effettuate, tecnologie utilizzate, ecc.).</w:t>
      </w:r>
    </w:p>
    <w:p w14:paraId="4CAB4DFC" w14:textId="77777777" w:rsidR="006A7F6D" w:rsidRDefault="00000000">
      <w:pPr>
        <w:ind w:left="397" w:hanging="397"/>
      </w:pPr>
      <w:r>
        <w:rPr>
          <w:b/>
          <w:color w:val="126F78"/>
        </w:rPr>
        <w:t>16</w:t>
      </w:r>
      <w:r>
        <w:rPr>
          <w:b/>
          <w:color w:val="126F78"/>
        </w:rPr>
        <w:tab/>
      </w:r>
      <w:r>
        <w:t>Descrivere l’ambito di applicazione del trattamento: ampiezza ed estensione, considerando il volume o la scala in termini di numero di interessati o di elementi di dati, la portata geografica e organizzativa, la frequenza o la durata per l’interessato. La ricorrenza del trattamento va considerata dalla prospettiva dell’interessato: per utilizzo o sessione, periodica, continua o pressoché continua, al verificarsi di un evento oppure occasionale.</w:t>
      </w:r>
    </w:p>
    <w:p w14:paraId="62DB99E8" w14:textId="77777777" w:rsidR="006A7F6D" w:rsidRDefault="00000000">
      <w:pPr>
        <w:ind w:left="397" w:hanging="397"/>
      </w:pPr>
      <w:r>
        <w:rPr>
          <w:b/>
          <w:color w:val="126F78"/>
        </w:rPr>
        <w:t>17</w:t>
      </w:r>
      <w:r>
        <w:rPr>
          <w:b/>
          <w:color w:val="126F78"/>
        </w:rPr>
        <w:tab/>
      </w:r>
      <w:r>
        <w:t>Descrivere il contesto del trattamento: circostanze e ambiente (casi d’uso, processi aziendali supportati, status del titolare del trattamento e relazione con gli interessati, categorie di interessati ed eventuali gruppi vulnerabili, trattamento transfrontaliero, trasferimenti internazionali, ecc.). Per trattamento transfrontaliero si intende il trattamento di dati personali effettuato nell’ambito delle attività di stabilimenti situati in più di uno Stato membro di un titolare o responsabile del trattamento nell’Unione, quando il titolare o il responsabile è stabilito in più di uno Stato membro; oppure il trattamento di dati personali effettuato nell’ambito delle attività di un unico stabilimento nell’Unione di un titolare o responsabile del trattamento, ma che incide o può incidere in modo sostanziale su interessati in più di uno Stato membro. I trasferimenti internazionali sono trasferimenti di dati personali verso un paese terzo o un’organizzazione internazionale, ossia un’organizzazione e i relativi organismi subordinati disciplinati dal diritto internazionale pubblico, oppure qualsiasi altro organismo istituito da un accordo tra due o più paesi o sulla base di tale accordo.</w:t>
      </w:r>
    </w:p>
    <w:p w14:paraId="1DAC3F90" w14:textId="77777777" w:rsidR="006A7F6D" w:rsidRDefault="00000000">
      <w:pPr>
        <w:pStyle w:val="Titolo2"/>
      </w:pPr>
      <w:bookmarkStart w:id="60" w:name="h14"/>
      <w:r>
        <w:t>1.2  Descrizione funzionale</w:t>
      </w:r>
      <w:bookmarkEnd w:id="60"/>
    </w:p>
    <w:p w14:paraId="740F2876" w14:textId="77777777" w:rsidR="006A7F6D" w:rsidRDefault="00000000">
      <w:pPr>
        <w:ind w:left="397" w:hanging="397"/>
      </w:pPr>
      <w:r>
        <w:rPr>
          <w:b/>
          <w:color w:val="126F78"/>
        </w:rPr>
        <w:t>18</w:t>
      </w:r>
      <w:r>
        <w:rPr>
          <w:b/>
          <w:color w:val="126F78"/>
        </w:rPr>
        <w:tab/>
      </w:r>
      <w:r>
        <w:t>Delineare il trattamento in modo strutturato, scomponendolo in fasi o stadi. Includere informazioni sull’intera catena composta da titolare, responsabili e sub-responsabili del trattamento.</w:t>
      </w:r>
    </w:p>
    <w:p w14:paraId="04903D11" w14:textId="77777777" w:rsidR="006A7F6D" w:rsidRDefault="00000000">
      <w:pPr>
        <w:ind w:left="397" w:hanging="397"/>
      </w:pPr>
      <w:r>
        <w:rPr>
          <w:b/>
          <w:color w:val="126F78"/>
        </w:rPr>
        <w:t>19</w:t>
      </w:r>
      <w:r>
        <w:rPr>
          <w:b/>
          <w:color w:val="126F78"/>
        </w:rPr>
        <w:tab/>
      </w:r>
      <w:r>
        <w:t>Illustrare il ciclo di vita e i flussi dei dati: fornire una panoramica completa di come i dati personali sono gestiti durante l’intero ciclo di vita, dalla raccolta alla cancellazione. Gli aspetti principali da includere sono i seguenti:</w:t>
      </w:r>
    </w:p>
    <w:p w14:paraId="2C8374F1" w14:textId="77777777" w:rsidR="006A7F6D" w:rsidRDefault="00000000">
      <w:pPr>
        <w:ind w:left="397"/>
      </w:pPr>
      <w:r>
        <w:t>Raccolta: descrivere quali dati vengono raccolti e con quali modalità, includendo le fonti e le informazioni fornite agli interessati.</w:t>
      </w:r>
    </w:p>
    <w:p w14:paraId="4A2A0B21" w14:textId="77777777" w:rsidR="006A7F6D" w:rsidRDefault="00000000">
      <w:pPr>
        <w:ind w:left="397"/>
      </w:pPr>
      <w:r>
        <w:t>Utilizzo: descrivere in dettaglio le operazioni effettuate sui dati, le tecnologie utilizzate e gli eventuali processi decisionali automatizzati o attività di profilazione. Chiarire come vengono utilizzati i dati e se vengono combinati con altri insiemi di dati.</w:t>
      </w:r>
    </w:p>
    <w:p w14:paraId="49F9D910" w14:textId="77777777" w:rsidR="006A7F6D" w:rsidRDefault="00000000">
      <w:pPr>
        <w:ind w:left="397"/>
      </w:pPr>
      <w:r>
        <w:t>Conservazione: specificare dove e come sono conservati i dati (supporti fisici, cloud, soggetti terzi) e chi vi ha accesso.</w:t>
      </w:r>
    </w:p>
    <w:p w14:paraId="1109201E" w14:textId="77777777" w:rsidR="006A7F6D" w:rsidRDefault="00000000">
      <w:pPr>
        <w:ind w:left="397"/>
      </w:pPr>
      <w:r>
        <w:t>Condivisione e trasferimento: illustrare eventuali condivisioni di dati con terzi o trasferimenti al di fuori dell’UE, nonché i meccanismi o gli strumenti giuridici utilizzati, ad esempio clausole contrattuali tipo (SCC) o decisioni di adeguatezza.</w:t>
      </w:r>
    </w:p>
    <w:p w14:paraId="2621E88E" w14:textId="77777777" w:rsidR="006A7F6D" w:rsidRDefault="00000000">
      <w:pPr>
        <w:ind w:left="397"/>
      </w:pPr>
      <w:r>
        <w:t>Cancellazione e distruzione: specificare i criteri e le procedure per cancellare in modo sicuro i dati quando non sono più necessari, inclusi i metodi per l’eliminazione permanente.</w:t>
      </w:r>
    </w:p>
    <w:p w14:paraId="7DE35843" w14:textId="77777777" w:rsidR="006A7F6D" w:rsidRDefault="00000000">
      <w:pPr>
        <w:pStyle w:val="Titolo2"/>
      </w:pPr>
      <w:bookmarkStart w:id="61" w:name="h15"/>
      <w:r>
        <w:t>1.3  Mezzi del trattamento, risorse di supporto e architettura sottostante</w:t>
      </w:r>
      <w:bookmarkEnd w:id="61"/>
    </w:p>
    <w:p w14:paraId="15BE09E3" w14:textId="77777777" w:rsidR="006A7F6D" w:rsidRDefault="00000000">
      <w:pPr>
        <w:ind w:left="397" w:hanging="397"/>
      </w:pPr>
      <w:r>
        <w:rPr>
          <w:b/>
          <w:color w:val="126F78"/>
        </w:rPr>
        <w:t>20</w:t>
      </w:r>
      <w:r>
        <w:rPr>
          <w:b/>
          <w:color w:val="126F78"/>
        </w:rPr>
        <w:tab/>
      </w:r>
      <w:r>
        <w:t>Partendo dalla descrizione funzionale della sezione 1.2, illustrare i mezzi del trattamento. Descrivere come viene effettuato il trattamento e quali metodi tecnici e organizzativi, strumenti, infrastrutture e risorse vengono utilizzati per svolgerlo sui dati personali.</w:t>
      </w:r>
    </w:p>
    <w:p w14:paraId="368E1392" w14:textId="77777777" w:rsidR="006A7F6D" w:rsidRDefault="00000000">
      <w:pPr>
        <w:ind w:left="397"/>
      </w:pPr>
      <w:r>
        <w:t>In particolare, fornire un elenco o un inventario delle risorse di supporto essenziali. Il termine «risorsa» (asset) indica generalmente qualsiasi risorsa, materiale o immateriale, utilizzata per trattare dati personali e consentirne una gestione efficace durante l’intero ciclo di vita. Le risorse costituiscono veicoli sia di valore sia di rischio nel contesto della protezione dei dati. Esempi di risorse sono: hardware, infrastrutture e componenti di rete (server, computer portatili, dispositivi mobili, supporti di memorizzazione, scanner, gateway VPN); software (motori di database, applicazioni aziendali); API e modelli; personale (utenti, amministratori, sviluppatori, operatori, personale di supporto, soggetti decisori); siti e locali (centri dati, archivi); risorse organizzative (politiche, procedure, contratti con responsabili e sub-responsabili del trattamento), ecc.</w:t>
      </w:r>
    </w:p>
    <w:p w14:paraId="0391942C" w14:textId="77777777" w:rsidR="006A7F6D" w:rsidRDefault="00000000">
      <w:pPr>
        <w:ind w:left="397"/>
      </w:pPr>
      <w:r>
        <w:t>Includere le risorse essenziali per l’analisi del rischio, ossia quelle la cui compromissione potrebbe plausibilmente incidere in modo non trascurabile sui diritti e sulle libertà: ad esempio risorse che conservano o trattano direttamente dati personali, risorse che controllano gli accessi o proteggono i dati, componenti esposti o ad alto impatto quali portali accessibili al pubblico, API o interfacce di condivisione dei dati con terzi. Gli elementi molto piccoli, generici o facilmente sostituibili non richiedono di norma un’elencazione individuale.</w:t>
      </w:r>
    </w:p>
    <w:p w14:paraId="02EDFE15" w14:textId="77777777" w:rsidR="006A7F6D" w:rsidRDefault="00000000">
      <w:pPr>
        <w:ind w:left="397"/>
      </w:pPr>
      <w:r>
        <w:t>Raggruppare le risorse per modulo logico, livello tecnico, funzione, ecc. Per ciascun gruppo indicare sinteticamente che cosa comprende e come si collega al trattamento; utilizzare poi lo stesso livello di dettaglio nella successiva valutazione e gestione del rischio. Bilanciare completezza e gestibilità, mantenere l’inventario molto dettagliato (per singolo dispositivo, servizio, ecc.) in una documentazione tecnica separata e fornire una spiegazione dell’architettura sottostante strettamente collegata alla valutazione e alla gestione del rischio.</w:t>
      </w:r>
    </w:p>
    <w:p w14:paraId="7F39118A" w14:textId="77777777" w:rsidR="006A7F6D" w:rsidRDefault="00000000">
      <w:pPr>
        <w:pStyle w:val="Titolo2"/>
      </w:pPr>
      <w:bookmarkStart w:id="62" w:name="h16"/>
      <w:r>
        <w:t>1.4  Conformità ai codici di condotta approvati</w:t>
      </w:r>
      <w:bookmarkEnd w:id="62"/>
    </w:p>
    <w:p w14:paraId="4B62D7E4" w14:textId="77777777" w:rsidR="006A7F6D" w:rsidRDefault="00000000">
      <w:pPr>
        <w:ind w:left="397" w:hanging="397"/>
      </w:pPr>
      <w:r>
        <w:rPr>
          <w:b/>
          <w:color w:val="126F78"/>
        </w:rPr>
        <w:t>21</w:t>
      </w:r>
      <w:r>
        <w:rPr>
          <w:b/>
          <w:color w:val="126F78"/>
        </w:rPr>
        <w:tab/>
      </w:r>
      <w:r>
        <w:t>Identificare la conformità ai codici di condotta approvati. Analizzare l’eventuale obbligo di conformità oppure le ragioni per cui, secondo il titolare del trattamento, tale conformità risulta necessaria o utile.</w:t>
      </w:r>
    </w:p>
    <w:p w14:paraId="2A0120DE" w14:textId="77777777" w:rsidR="006A7F6D" w:rsidRDefault="00000000">
      <w:r>
        <w:br w:type="page"/>
      </w:r>
    </w:p>
    <w:p w14:paraId="0856B2BA" w14:textId="77777777" w:rsidR="006A7F6D" w:rsidRDefault="00000000">
      <w:pPr>
        <w:pStyle w:val="Titolo1"/>
      </w:pPr>
      <w:bookmarkStart w:id="63" w:name="h17"/>
      <w:r>
        <w:t>2  ANALISI DEL TRATTAMENTO</w:t>
      </w:r>
      <w:bookmarkEnd w:id="63"/>
    </w:p>
    <w:p w14:paraId="01134764" w14:textId="77777777" w:rsidR="006A7F6D" w:rsidRDefault="00000000">
      <w:pPr>
        <w:pStyle w:val="Titolo2"/>
      </w:pPr>
      <w:bookmarkStart w:id="64" w:name="h18"/>
      <w:r>
        <w:t>2.1  Liceità del trattamento</w:t>
      </w:r>
      <w:bookmarkEnd w:id="64"/>
    </w:p>
    <w:p w14:paraId="5BA6752F" w14:textId="77777777" w:rsidR="006A7F6D" w:rsidRDefault="00000000">
      <w:pPr>
        <w:pStyle w:val="Titolo3"/>
      </w:pPr>
      <w:bookmarkStart w:id="65" w:name="h19"/>
      <w:r>
        <w:t>2.1.1  Base giuridica</w:t>
      </w:r>
      <w:bookmarkEnd w:id="65"/>
    </w:p>
    <w:p w14:paraId="1BEA6C36" w14:textId="77777777" w:rsidR="006A7F6D" w:rsidRDefault="00000000">
      <w:pPr>
        <w:ind w:left="397" w:hanging="397"/>
      </w:pPr>
      <w:r>
        <w:rPr>
          <w:b/>
          <w:color w:val="126F78"/>
        </w:rPr>
        <w:t>22</w:t>
      </w:r>
      <w:r>
        <w:rPr>
          <w:b/>
          <w:color w:val="126F78"/>
        </w:rPr>
        <w:tab/>
      </w:r>
      <w:r>
        <w:t>Analizzare la base giuridica del trattamento. L’analisi di ciascuna base giuridica dovrebbe essere effettuata con riferimento a ciascuna finalità del trattamento (1.1.2), comprese le finalità secondarie o compatibili (1.1.3).</w:t>
      </w:r>
    </w:p>
    <w:p w14:paraId="0B461449" w14:textId="77777777" w:rsidR="006A7F6D" w:rsidRDefault="00000000">
      <w:pPr>
        <w:ind w:left="397" w:hanging="397"/>
      </w:pPr>
      <w:r>
        <w:rPr>
          <w:b/>
          <w:color w:val="126F78"/>
        </w:rPr>
        <w:t>23</w:t>
      </w:r>
      <w:r>
        <w:rPr>
          <w:b/>
          <w:color w:val="126F78"/>
        </w:rPr>
        <w:tab/>
      </w:r>
      <w:r>
        <w:t>Se applicabile, rinviare a un’analisi esistente, documentata altrove e non nel presente modello, oppure analizzare i legittimi interessi perseguiti dal titolare del trattamento o da terzi ed effettuare un test di bilanciamento</w:t>
      </w:r>
      <w:r>
        <w:rPr>
          <w:color w:val="126F78"/>
          <w:sz w:val="18"/>
          <w:vertAlign w:val="superscript"/>
        </w:rPr>
        <w:footnoteReference w:id="4"/>
      </w:r>
      <w:r>
        <w:t>. Se l’analisi si basa su ipotesi relative alle misure attuate, ai rischi residui, ecc., assicurarsi che esse siano correttamente riportate nelle sezioni pertinenti del presente modello.</w:t>
      </w:r>
    </w:p>
    <w:p w14:paraId="1A84DEA2" w14:textId="77777777" w:rsidR="006A7F6D" w:rsidRDefault="00000000">
      <w:pPr>
        <w:pStyle w:val="Titolo3"/>
      </w:pPr>
      <w:bookmarkStart w:id="66" w:name="h20"/>
      <w:r>
        <w:t>2.1.2  Condizioni che consentono di derogare al divieto di trattamento</w:t>
      </w:r>
      <w:bookmarkEnd w:id="66"/>
    </w:p>
    <w:p w14:paraId="765DA379" w14:textId="77777777" w:rsidR="006A7F6D" w:rsidRDefault="00000000">
      <w:pPr>
        <w:ind w:left="397" w:hanging="397"/>
      </w:pPr>
      <w:r>
        <w:rPr>
          <w:b/>
          <w:color w:val="126F78"/>
        </w:rPr>
        <w:t>24</w:t>
      </w:r>
      <w:r>
        <w:rPr>
          <w:b/>
          <w:color w:val="126F78"/>
        </w:rPr>
        <w:tab/>
      </w:r>
      <w:r>
        <w:t>Se vengono trattate categorie particolari di dati (si veda 1.1.1, Dati personali trattati), le ragioni che consentono di derogare al divieto di trattamento di tali categorie devono essere correttamente individuate e motivate.</w:t>
      </w:r>
    </w:p>
    <w:p w14:paraId="015542C3" w14:textId="77777777" w:rsidR="006A7F6D" w:rsidRDefault="00000000">
      <w:pPr>
        <w:pStyle w:val="Titolo2"/>
      </w:pPr>
      <w:bookmarkStart w:id="67" w:name="h21"/>
      <w:r>
        <w:t>2.2  Minimizzazione dei dati, periodi di conservazione e qualità dei dati</w:t>
      </w:r>
      <w:bookmarkEnd w:id="67"/>
    </w:p>
    <w:p w14:paraId="3EEED23C" w14:textId="77777777" w:rsidR="006A7F6D" w:rsidRDefault="00000000">
      <w:pPr>
        <w:pStyle w:val="Titolo3"/>
      </w:pPr>
      <w:bookmarkStart w:id="68" w:name="h22"/>
      <w:r>
        <w:t>2.2.1  Minimizzazione dei dati e periodi di conservazione</w:t>
      </w:r>
      <w:bookmarkEnd w:id="68"/>
    </w:p>
    <w:p w14:paraId="6B0425C1" w14:textId="77777777" w:rsidR="006A7F6D" w:rsidRDefault="00000000">
      <w:pPr>
        <w:ind w:left="397" w:hanging="397"/>
      </w:pPr>
      <w:r>
        <w:rPr>
          <w:b/>
          <w:color w:val="126F78"/>
        </w:rPr>
        <w:t>25</w:t>
      </w:r>
      <w:r>
        <w:rPr>
          <w:b/>
          <w:color w:val="126F78"/>
        </w:rPr>
        <w:tab/>
      </w:r>
      <w:r>
        <w:t>Documentare dettagliatamente la giustificazione del trattamento dei dati personali elencati nella sezione 1.1.1, individuando i destinatari e indicando i periodi di conservazione. Motivare anche le scelte progettuali.</w:t>
      </w:r>
    </w:p>
    <w:p w14:paraId="1929603E" w14:textId="77777777" w:rsidR="006A7F6D" w:rsidRDefault="00000000">
      <w:pPr>
        <w:pStyle w:val="Titolo3"/>
      </w:pPr>
      <w:bookmarkStart w:id="69" w:name="h23"/>
      <w:r>
        <w:t>2.2.2  Qualità dei dati</w:t>
      </w:r>
      <w:bookmarkEnd w:id="69"/>
    </w:p>
    <w:p w14:paraId="635DD934" w14:textId="77777777" w:rsidR="006A7F6D" w:rsidRDefault="00000000">
      <w:pPr>
        <w:ind w:left="397" w:hanging="397"/>
      </w:pPr>
      <w:r>
        <w:rPr>
          <w:b/>
          <w:color w:val="126F78"/>
        </w:rPr>
        <w:t>26</w:t>
      </w:r>
      <w:r>
        <w:rPr>
          <w:b/>
          <w:color w:val="126F78"/>
        </w:rPr>
        <w:tab/>
      </w:r>
      <w:r>
        <w:t>Fornire metriche, requisiti o soglie relativi alla qualità dei dati.</w:t>
      </w:r>
    </w:p>
    <w:p w14:paraId="22627FF3" w14:textId="77777777" w:rsidR="006A7F6D" w:rsidRDefault="00000000">
      <w:pPr>
        <w:pStyle w:val="Titolo2"/>
      </w:pPr>
      <w:bookmarkStart w:id="70" w:name="h24"/>
      <w:r>
        <w:t>2.3  Misure a supporto della conformità</w:t>
      </w:r>
      <w:bookmarkEnd w:id="70"/>
    </w:p>
    <w:p w14:paraId="37D361DF" w14:textId="77777777" w:rsidR="006A7F6D" w:rsidRDefault="00000000">
      <w:pPr>
        <w:pStyle w:val="Titolo3"/>
      </w:pPr>
      <w:bookmarkStart w:id="71" w:name="h25"/>
      <w:r>
        <w:t>2.3.1  Misure a supporto dei principi dell’articolo 5, paragrafo 1, lettere a)-f), GDPR</w:t>
      </w:r>
      <w:bookmarkEnd w:id="71"/>
    </w:p>
    <w:p w14:paraId="435E84A0" w14:textId="77777777" w:rsidR="006A7F6D" w:rsidRDefault="00000000">
      <w:pPr>
        <w:ind w:left="397" w:hanging="397"/>
      </w:pPr>
      <w:r>
        <w:rPr>
          <w:b/>
          <w:color w:val="126F78"/>
        </w:rPr>
        <w:t>27</w:t>
      </w:r>
      <w:r>
        <w:rPr>
          <w:b/>
          <w:color w:val="126F78"/>
        </w:rPr>
        <w:tab/>
      </w:r>
      <w:r>
        <w:t>Elencare le misure che contribuiscono al rispetto dei principi stabiliti dall’articolo 5, paragrafo 1, lettere a)-f), GDPR (minimizzazione dei dati, limitazione della finalità, esattezza, ecc.) e discuterne l’adeguatezza e l’efficacia. Descrivere lo stato di attuazione di ciascuna garanzia al momento della valutazione: (a) pianificata: la garanzia è soltanto allo stadio di intenzione o progettazione; è stata individuata come necessaria, ma non è ancora stata messa in produzione; (b) parzialmente attuata: alcuni elementi della misura sono presenti, ma mancano aspetti importanti oppure risultano incompleti; (c) attuata: la misura esiste, è stata implementata ed è effettivamente operativa nell’ambiente di esercizio, non soltanto sulla carta, e vi sono evidenze che il controllo funzioni come previsto.</w:t>
      </w:r>
    </w:p>
    <w:p w14:paraId="1C12B516" w14:textId="77777777" w:rsidR="006A7F6D" w:rsidRDefault="00000000">
      <w:pPr>
        <w:pStyle w:val="Titolo3"/>
      </w:pPr>
      <w:bookmarkStart w:id="72" w:name="h26"/>
      <w:r>
        <w:t>2.3.2  Misure a supporto dell’esercizio dei diritti degli interessati</w:t>
      </w:r>
      <w:bookmarkEnd w:id="72"/>
    </w:p>
    <w:p w14:paraId="14B9C0FF" w14:textId="77777777" w:rsidR="006A7F6D" w:rsidRDefault="00000000">
      <w:pPr>
        <w:ind w:left="397" w:hanging="397"/>
      </w:pPr>
      <w:r>
        <w:rPr>
          <w:b/>
          <w:color w:val="126F78"/>
        </w:rPr>
        <w:t>28</w:t>
      </w:r>
      <w:r>
        <w:rPr>
          <w:b/>
          <w:color w:val="126F78"/>
        </w:rPr>
        <w:tab/>
      </w:r>
      <w:r>
        <w:t>Elencare le misure previste per rispettare il GDPR, tenendo conto dei diritti degli interessati, tra cui: informazioni fornite agli interessati (articoli 12, 13 e 14 GDPR); diritto di accesso e alla portabilità dei dati (articoli 15 e 20 GDPR); diritto di rettifica e di cancellazione (articoli 16, 17 e 19 GDPR); diritto di opposizione e di limitazione del trattamento (articoli 18, 19, 21 e 22 GDPR). Discuterne l’adeguatezza e l’efficacia e descriverne lo stato di attuazione.</w:t>
      </w:r>
    </w:p>
    <w:p w14:paraId="352DAC5C" w14:textId="77777777" w:rsidR="006A7F6D" w:rsidRDefault="00000000">
      <w:pPr>
        <w:pStyle w:val="Titolo3"/>
      </w:pPr>
      <w:bookmarkStart w:id="73" w:name="h27"/>
      <w:r>
        <w:t>2.3.3  Misure a supporto degli altri requisiti del GDPR</w:t>
      </w:r>
      <w:bookmarkEnd w:id="73"/>
    </w:p>
    <w:p w14:paraId="343A2854" w14:textId="77777777" w:rsidR="006A7F6D" w:rsidRDefault="00000000">
      <w:pPr>
        <w:ind w:left="397" w:hanging="397"/>
      </w:pPr>
      <w:r>
        <w:rPr>
          <w:b/>
          <w:color w:val="126F78"/>
        </w:rPr>
        <w:t>29</w:t>
      </w:r>
      <w:r>
        <w:rPr>
          <w:b/>
          <w:color w:val="126F78"/>
        </w:rPr>
        <w:tab/>
      </w:r>
      <w:r>
        <w:t>Elencare le misure previste per rispettare il GDPR, tenendo conto dei requisiti relativi al consenso (articolo 7 GDPR), dei rapporti con i responsabili del trattamento (articolo 28 GDPR) e delle garanzie relative ai trasferimenti internazionali (capo V GDPR). Discuterne l’adeguatezza e l’efficacia e descriverne lo stato di attuazione.</w:t>
      </w:r>
    </w:p>
    <w:p w14:paraId="3629EF5D" w14:textId="77777777" w:rsidR="006A7F6D" w:rsidRDefault="00000000">
      <w:pPr>
        <w:pStyle w:val="Titolo3"/>
      </w:pPr>
      <w:bookmarkStart w:id="74" w:name="h28"/>
      <w:r>
        <w:t>2.3.4  Misure a supporto della protezione dei dati fin dalla progettazione e per impostazione predefinita</w:t>
      </w:r>
      <w:bookmarkEnd w:id="74"/>
    </w:p>
    <w:p w14:paraId="01D09C41" w14:textId="77777777" w:rsidR="006A7F6D" w:rsidRDefault="00000000">
      <w:pPr>
        <w:ind w:left="397" w:hanging="397"/>
      </w:pPr>
      <w:r>
        <w:rPr>
          <w:b/>
          <w:color w:val="126F78"/>
        </w:rPr>
        <w:t>30</w:t>
      </w:r>
      <w:r>
        <w:rPr>
          <w:b/>
          <w:color w:val="126F78"/>
        </w:rPr>
        <w:tab/>
      </w:r>
      <w:r>
        <w:t>Elencare le misure che contribuiscono al rispetto della protezione dei dati fin dalla progettazione e per impostazione predefinita</w:t>
      </w:r>
      <w:r>
        <w:rPr>
          <w:color w:val="126F78"/>
          <w:sz w:val="18"/>
          <w:vertAlign w:val="superscript"/>
        </w:rPr>
        <w:footnoteReference w:id="5"/>
      </w:r>
      <w:r>
        <w:t xml:space="preserve"> (articolo 25 GDPR), discuterne l’adeguatezza e l’efficacia e descriverne lo stato di attuazione.</w:t>
      </w:r>
    </w:p>
    <w:p w14:paraId="3B071872" w14:textId="77777777" w:rsidR="006A7F6D" w:rsidRDefault="00000000">
      <w:pPr>
        <w:pStyle w:val="Titolo3"/>
      </w:pPr>
      <w:bookmarkStart w:id="75" w:name="h29"/>
      <w:r>
        <w:t>2.3.5  Misure a supporto della sicurezza del trattamento</w:t>
      </w:r>
      <w:bookmarkEnd w:id="75"/>
    </w:p>
    <w:p w14:paraId="1A41950D" w14:textId="77777777" w:rsidR="006A7F6D" w:rsidRDefault="00000000">
      <w:pPr>
        <w:ind w:left="397" w:hanging="397"/>
      </w:pPr>
      <w:r>
        <w:rPr>
          <w:b/>
          <w:color w:val="126F78"/>
        </w:rPr>
        <w:t>31</w:t>
      </w:r>
      <w:r>
        <w:rPr>
          <w:b/>
          <w:color w:val="126F78"/>
        </w:rPr>
        <w:tab/>
      </w:r>
      <w:r>
        <w:t>Elencare le misure che contribuiscono alla sicurezza del trattamento (articolo 32 GDPR), discuterne l’adeguatezza e l’efficacia e descriverne lo stato di attuazione. Considerare le misure che supportano la pseudonimizzazione e la cifratura dei dati personali; la capacità di garantire in modo continuativo riservatezza, integrità, disponibilità e resilienza dei sistemi e dei servizi di trattamento; la capacità di ripristinare tempestivamente la disponibilità dei dati personali e l’accesso agli stessi in caso di incidente fisico o tecnico, ecc.</w:t>
      </w:r>
    </w:p>
    <w:p w14:paraId="60FFD0B6" w14:textId="77777777" w:rsidR="006A7F6D" w:rsidRDefault="00000000">
      <w:r>
        <w:br w:type="page"/>
      </w:r>
    </w:p>
    <w:p w14:paraId="50F6D0C6" w14:textId="77777777" w:rsidR="006A7F6D" w:rsidRDefault="00000000">
      <w:pPr>
        <w:pStyle w:val="Titolo1"/>
      </w:pPr>
      <w:bookmarkStart w:id="76" w:name="h30"/>
      <w:r>
        <w:t>3  CONSIDERAZIONI SULLA NECESSITÀ E SULLA PROPORZIONALITÀ</w:t>
      </w:r>
      <w:bookmarkEnd w:id="76"/>
    </w:p>
    <w:p w14:paraId="27B42308" w14:textId="77777777" w:rsidR="006A7F6D" w:rsidRDefault="00000000">
      <w:pPr>
        <w:pStyle w:val="Titolo2"/>
      </w:pPr>
      <w:bookmarkStart w:id="77" w:name="h31"/>
      <w:r>
        <w:t>3.1  Impatti del trattamento sui diritti e sulle libertà degli interessati</w:t>
      </w:r>
      <w:bookmarkEnd w:id="77"/>
    </w:p>
    <w:p w14:paraId="44B0C159" w14:textId="77777777" w:rsidR="006A7F6D" w:rsidRDefault="00000000">
      <w:pPr>
        <w:ind w:left="397" w:hanging="397"/>
      </w:pPr>
      <w:r>
        <w:rPr>
          <w:b/>
          <w:color w:val="126F78"/>
        </w:rPr>
        <w:t>32</w:t>
      </w:r>
      <w:r>
        <w:rPr>
          <w:b/>
          <w:color w:val="126F78"/>
        </w:rPr>
        <w:tab/>
      </w:r>
      <w:r>
        <w:t>Spiegare come possano concretizzarsi le minacce che il trattamento pianificato, così come è stato progettato e se ne prevede l’attuazione, incluse le misure tecniche, giuridiche/contrattuali e organizzative per mitigare il rischio, pone ai diritti e alle libertà degli interessati. Individuarne gli impatti e tutte le possibili fonti di rischio. Si tratta di rischi che esistono anche quando tutto funziona esattamente come progettato e tutti i soggetti rispettano le regole.</w:t>
      </w:r>
    </w:p>
    <w:p w14:paraId="4BF64C32" w14:textId="77777777" w:rsidR="006A7F6D" w:rsidRDefault="00000000">
      <w:pPr>
        <w:ind w:left="397"/>
      </w:pPr>
      <w:r>
        <w:t>Tali minacce derivano principalmente dai dati personali trattati (1.1.1), dalla finalità stessa del trattamento (1.1.2) e dalla sua natura, dal suo ambito di applicazione e dal suo contesto (1.1.4). Anche se il trattamento è correttamente attuato e funziona secondo le specifiche, esistono rischi legati alle sue caratteristiche intrinseche e strutturali: tutto procede come previsto, ma le scelte progettuali creano di per sé rischi per i diritti e le libertà degli interessati, anche in assenza di guasti o attacchi.</w:t>
      </w:r>
    </w:p>
    <w:p w14:paraId="42D60456" w14:textId="77777777" w:rsidR="006A7F6D" w:rsidRDefault="00000000">
      <w:pPr>
        <w:ind w:left="397"/>
      </w:pPr>
      <w:r>
        <w:t>Una minaccia è qualsiasi circostanza o evento potenzialmente in grado di incidere negativamente sui diritti e sulle libertà degli interessati, ad esempio collegamento tra dati, identificazione, inesattezza o divulgazione di dati; può causare agli interessati danni fisici, materiali o immateriali.</w:t>
      </w:r>
    </w:p>
    <w:p w14:paraId="27713FD8" w14:textId="77777777" w:rsidR="006A7F6D" w:rsidRDefault="00000000">
      <w:pPr>
        <w:ind w:left="397"/>
      </w:pPr>
      <w:r>
        <w:t>Una fonte di rischio è l’origine o la causa sottostante dalla quale può concretizzarsi una minaccia. Esempi tipici sono le caratteristiche del trattamento stesso, ossia la sua finalità, una progettazione errata e le relative debolezze (ad esempio uso di identificatori univoci o periodi di conservazione lunghi), le esposizioni, ecc.</w:t>
      </w:r>
    </w:p>
    <w:p w14:paraId="3EAB0AD3" w14:textId="77777777" w:rsidR="006A7F6D" w:rsidRDefault="00000000">
      <w:pPr>
        <w:ind w:left="397"/>
      </w:pPr>
      <w:r>
        <w:t>L’impatto consiste nelle conseguenze prevedibili della concretizzazione della minaccia, sempre considerando i diritti e le libertà degli interessati (si veda, ad esempio, il considerando 75 GDPR).</w:t>
      </w:r>
    </w:p>
    <w:p w14:paraId="42CB13D3" w14:textId="77777777" w:rsidR="006A7F6D" w:rsidRDefault="00000000">
      <w:pPr>
        <w:pStyle w:val="Titolo2"/>
      </w:pPr>
      <w:bookmarkStart w:id="78" w:name="h32"/>
      <w:r>
        <w:t>3.2  Valutare la necessità del trattamento</w:t>
      </w:r>
      <w:bookmarkEnd w:id="78"/>
    </w:p>
    <w:p w14:paraId="03C450F6" w14:textId="77777777" w:rsidR="006A7F6D" w:rsidRDefault="00000000">
      <w:pPr>
        <w:ind w:left="397" w:hanging="397"/>
      </w:pPr>
      <w:r>
        <w:rPr>
          <w:b/>
          <w:color w:val="126F78"/>
        </w:rPr>
        <w:t>33</w:t>
      </w:r>
      <w:r>
        <w:rPr>
          <w:b/>
          <w:color w:val="126F78"/>
        </w:rPr>
        <w:tab/>
      </w:r>
      <w:r>
        <w:t>Valutare la necessità del trattamento</w:t>
      </w:r>
      <w:r>
        <w:rPr>
          <w:color w:val="126F78"/>
          <w:sz w:val="18"/>
          <w:vertAlign w:val="superscript"/>
        </w:rPr>
        <w:footnoteReference w:id="6"/>
      </w:r>
      <w:r>
        <w:t>. Esaminare se il trattamento previsto sia efficace e il meno invasivo per i diritti e le libertà dell’interessato. Analizzare se sia dimostrato che il trattamento funzioni come previsto, almeno al livello adeguato o richiesto. Fornire evidenze, ad esempio sulle diverse alternative considerate e sulla loro efficacia nel conseguire la finalità, e una giustificazione.</w:t>
      </w:r>
    </w:p>
    <w:p w14:paraId="1D628F89" w14:textId="77777777" w:rsidR="006A7F6D" w:rsidRDefault="00000000">
      <w:pPr>
        <w:pStyle w:val="Titolo2"/>
      </w:pPr>
      <w:bookmarkStart w:id="79" w:name="h33"/>
      <w:r>
        <w:t>3.3  Valutare la proporzionalità del trattamento</w:t>
      </w:r>
      <w:bookmarkEnd w:id="79"/>
    </w:p>
    <w:p w14:paraId="69294E03" w14:textId="77777777" w:rsidR="006A7F6D" w:rsidRDefault="00000000">
      <w:pPr>
        <w:ind w:left="397" w:hanging="397"/>
      </w:pPr>
      <w:r>
        <w:rPr>
          <w:b/>
          <w:color w:val="126F78"/>
        </w:rPr>
        <w:t>34</w:t>
      </w:r>
      <w:r>
        <w:rPr>
          <w:b/>
          <w:color w:val="126F78"/>
        </w:rPr>
        <w:tab/>
      </w:r>
      <w:r>
        <w:t>Valutare la proporzionalità del trattamento</w:t>
      </w:r>
      <w:r>
        <w:rPr>
          <w:color w:val="126F78"/>
          <w:sz w:val="18"/>
          <w:vertAlign w:val="superscript"/>
        </w:rPr>
        <w:footnoteReference w:id="7"/>
      </w:r>
      <w:r>
        <w:t>, ricordando che la necessità costituisce un presupposto della proporzionalità. Discutere l’importanza del trattamento e i suoi potenziali benefici per l’interessato, per l’organizzazione e per la collettività. Gli svantaggi che il trattamento comporta per l’esercizio dei diritti e delle libertà fondamentali delle persone non dovrebbero superarne i vantaggi. Considerare i risultati ottenuti nella sezione 3.1 per riflettere sull’equilibrio tra vantaggi e svantaggi, benefici e costi. Sulla base di informazioni complete e aggiornate, occorre rispondere alla seguente domanda: il trattamento previsto per conseguire la finalità costituisce una risposta proporzionata alla necessità individuata, tenuto conto delle limitazioni ai diritti alla protezione dei dati e alla vita privata? Fornire evidenze e giustificazioni.</w:t>
      </w:r>
    </w:p>
    <w:p w14:paraId="70A2C1B9" w14:textId="77777777" w:rsidR="006A7F6D" w:rsidRDefault="00000000">
      <w:r>
        <w:br w:type="page"/>
      </w:r>
    </w:p>
    <w:p w14:paraId="2EEEC0FB" w14:textId="77777777" w:rsidR="006A7F6D" w:rsidRDefault="00000000">
      <w:pPr>
        <w:pStyle w:val="Titolo1"/>
      </w:pPr>
      <w:bookmarkStart w:id="80" w:name="h34"/>
      <w:r>
        <w:t>4  VALUTAZIONE E GESTIONE DEL RISCHIO</w:t>
      </w:r>
      <w:bookmarkEnd w:id="80"/>
    </w:p>
    <w:p w14:paraId="186E30E2" w14:textId="77777777" w:rsidR="006A7F6D" w:rsidRDefault="00000000">
      <w:pPr>
        <w:pStyle w:val="Titolo2"/>
      </w:pPr>
      <w:bookmarkStart w:id="81" w:name="h35"/>
      <w:r>
        <w:t>4.1  Valutazione e gestione del rischio</w:t>
      </w:r>
      <w:bookmarkEnd w:id="81"/>
    </w:p>
    <w:p w14:paraId="5655FD75" w14:textId="77777777" w:rsidR="006A7F6D" w:rsidRDefault="00000000">
      <w:pPr>
        <w:pStyle w:val="Titolo3"/>
      </w:pPr>
      <w:bookmarkStart w:id="82" w:name="h36"/>
      <w:r>
        <w:t>4.1.1  Impatti sui diritti e sulle libertà causati da eventi non conformi al funzionamento predefinito, accidentali, illeciti o anomali</w:t>
      </w:r>
      <w:bookmarkEnd w:id="82"/>
    </w:p>
    <w:p w14:paraId="3BE9438D" w14:textId="77777777" w:rsidR="006A7F6D" w:rsidRDefault="00000000">
      <w:pPr>
        <w:ind w:left="397" w:hanging="397"/>
      </w:pPr>
      <w:r>
        <w:rPr>
          <w:b/>
          <w:color w:val="126F78"/>
        </w:rPr>
        <w:t>35</w:t>
      </w:r>
      <w:r>
        <w:rPr>
          <w:b/>
          <w:color w:val="126F78"/>
        </w:rPr>
        <w:tab/>
      </w:r>
      <w:r>
        <w:t>Spiegare come eventi non conformi al funzionamento predefinito, accidentali, illeciti o anomali possano costituire una minaccia per i diritti e le libertà degli interessati e come possano concretizzarsi. Individuarne gli impatti e tutte le possibili fonti di rischio. Considerare le minacce derivanti da malfunzionamenti e scostamenti rispetto alla progettazione e alle impostazioni predefinite, le minacce alla riservatezza, all’integrità e alla disponibilità dei dati (connesse alla sicurezza informatica), ecc. Individuare almeno le minacce che potrebbero determinare accessi illegittimi, modifiche indesiderate e scomparsa dei dati.</w:t>
      </w:r>
    </w:p>
    <w:p w14:paraId="7ED14E16" w14:textId="77777777" w:rsidR="006A7F6D" w:rsidRDefault="00000000">
      <w:pPr>
        <w:ind w:left="397"/>
      </w:pPr>
      <w:r>
        <w:t>Queste minacce sono diverse da quelle individuate nella sezione 3.1, perché si concretizzano quando qualcosa non procede come previsto nella progettazione, nell’attuazione, nella configurazione o nel funzionamento, oppure quando sono presenti soggetti malevoli. La causa primaria è uno scostamento rispetto allo stato previsto e conforme.</w:t>
      </w:r>
    </w:p>
    <w:p w14:paraId="3EADA857" w14:textId="77777777" w:rsidR="006A7F6D" w:rsidRDefault="00000000">
      <w:pPr>
        <w:ind w:left="397"/>
      </w:pPr>
      <w:r>
        <w:t>Per la definizione di minaccia, si veda sopra (paragrafo 32).</w:t>
      </w:r>
    </w:p>
    <w:p w14:paraId="271FDF4F" w14:textId="77777777" w:rsidR="006A7F6D" w:rsidRDefault="00000000">
      <w:pPr>
        <w:ind w:left="397"/>
      </w:pPr>
      <w:r>
        <w:t>Una fonte di rischio è l’origine o la causa sottostante dalla quale può concretizzarsi una minaccia. Esempi tipici in questo contesto sono errori software, configurazioni errate, diritti di accesso errati, errori operativi (invio di dati al destinatario sbagliato, utilizzo dell’insieme di dati errato, mancata disattivazione di account o autorizzazioni), carenza di manutenzione (vulnerabilità non corrette, componenti obsolete), abusi interni (personale che eccede gli usi autorizzati) oppure attacchi esterni (phishing, ransomware).</w:t>
      </w:r>
    </w:p>
    <w:p w14:paraId="0CC69B0A" w14:textId="77777777" w:rsidR="006A7F6D" w:rsidRDefault="00000000">
      <w:pPr>
        <w:ind w:left="397"/>
      </w:pPr>
      <w:r>
        <w:t>Per la nozione di impatto, si veda sopra (paragrafo 32).</w:t>
      </w:r>
    </w:p>
    <w:p w14:paraId="3A369118" w14:textId="77777777" w:rsidR="006A7F6D" w:rsidRDefault="00000000">
      <w:pPr>
        <w:pStyle w:val="Titolo3"/>
      </w:pPr>
      <w:bookmarkStart w:id="83" w:name="h37"/>
      <w:r>
        <w:t>4.1.2  Metodo</w:t>
      </w:r>
      <w:bookmarkEnd w:id="83"/>
    </w:p>
    <w:p w14:paraId="5A6923FA" w14:textId="77777777" w:rsidR="006A7F6D" w:rsidRDefault="00000000">
      <w:pPr>
        <w:ind w:left="397" w:hanging="397"/>
      </w:pPr>
      <w:r>
        <w:rPr>
          <w:b/>
          <w:color w:val="126F78"/>
        </w:rPr>
        <w:t>36</w:t>
      </w:r>
      <w:r>
        <w:rPr>
          <w:b/>
          <w:color w:val="126F78"/>
        </w:rPr>
        <w:tab/>
      </w:r>
      <w:r>
        <w:t>Illustrare in dettaglio il metodo seguito per valutare e gestire il rischio. Fornire le informazioni necessarie per comprendere e interpretare i seguenti aspetti: livelli di probabilità e gravità e relativo significato (spesso viene utilizzata una scala da 2 a 5 livelli), metriche del rischio, modalità di definizione delle priorità dei rischi, livelli di accettazione del rischio, ecc. Se viene utilizzato un metodo consolidato, fornire il collegamento alla fonte esterna che lo presenta</w:t>
      </w:r>
      <w:r>
        <w:rPr>
          <w:color w:val="126F78"/>
          <w:sz w:val="18"/>
          <w:vertAlign w:val="superscript"/>
        </w:rPr>
        <w:footnoteReference w:id="8"/>
      </w:r>
      <w:r>
        <w:t>.</w:t>
      </w:r>
    </w:p>
    <w:p w14:paraId="0E961AFF" w14:textId="77777777" w:rsidR="006A7F6D" w:rsidRDefault="00000000">
      <w:pPr>
        <w:pStyle w:val="Titolo3"/>
      </w:pPr>
      <w:bookmarkStart w:id="84" w:name="h38"/>
      <w:r>
        <w:t>4.1.3  Valutazione del rischio inerente</w:t>
      </w:r>
      <w:bookmarkEnd w:id="84"/>
    </w:p>
    <w:p w14:paraId="2F964EB4" w14:textId="77777777" w:rsidR="006A7F6D" w:rsidRDefault="00000000">
      <w:pPr>
        <w:ind w:left="397" w:hanging="397"/>
      </w:pPr>
      <w:r>
        <w:rPr>
          <w:b/>
          <w:color w:val="126F78"/>
        </w:rPr>
        <w:t>37</w:t>
      </w:r>
      <w:r>
        <w:rPr>
          <w:b/>
          <w:color w:val="126F78"/>
        </w:rPr>
        <w:tab/>
      </w:r>
      <w:r>
        <w:t>Considerando le minacce individuate, le relative fonti di rischio e gli impatti, elencare i rischi specifici che il trattamento pone ai diritti e alle libertà degli interessati. Includere gli scenari descritti nelle sottosezioni 3.1 e 4.1.1. Per uno specifico trattamento di dati, il rischio inerente è il livello di rischio che il titolare attribuisce al trattamento pianificato assumendo il set di base o iniziale delle misure previste.</w:t>
      </w:r>
    </w:p>
    <w:p w14:paraId="34560D5B" w14:textId="77777777" w:rsidR="006A7F6D" w:rsidRDefault="00000000">
      <w:pPr>
        <w:ind w:left="397"/>
      </w:pPr>
      <w:r>
        <w:t>Un rischio è uno scenario che descrive un evento (la concretizzazione della minaccia) e le sue conseguenze. Il livello di rischio esprime in quale misura gli interessati sono colpiti dalla corrispondente minaccia ed è tipicamente funzione di: (i) probabilità che la minaccia si concretizzi; (ii) entità degli impatti negativi che deriverebbero dalla sua concretizzazione (gravità). Stimare la probabilità e la gravità di tutti i rischi individuati per i diritti e le libertà degli interessati.</w:t>
      </w:r>
    </w:p>
    <w:p w14:paraId="644B3E36" w14:textId="77777777" w:rsidR="006A7F6D" w:rsidRDefault="00000000">
      <w:pPr>
        <w:ind w:left="397"/>
      </w:pPr>
      <w:r>
        <w:t>Individuare i fattori modulanti del rischio: caratteristiche che aumentano o diminuiscono la probabilità o la gravità di un rischio, senza costituire la fonte primaria della minaccia corrispondente. Esempi di fattori aggravanti, che modulano il rischio verso l’alto, sono un numero molto elevato di interessati o un’elevata sensibilità dei dati, interessati in situazione di dipendenza o vulnerabilità (minori, pazienti, lavoratori, migranti) oppure un’elevata esposizione ad avversari esterni. Fattori attenuanti, che modulano il rischio verso il basso, sono le scelte progettuali e le misure (sezione 2.3).</w:t>
      </w:r>
    </w:p>
    <w:p w14:paraId="359E9BDF" w14:textId="77777777" w:rsidR="006A7F6D" w:rsidRDefault="00000000">
      <w:pPr>
        <w:ind w:left="397"/>
      </w:pPr>
      <w:r>
        <w:t>Il calcolo del livello di rischio segue di norma la relazione standard Rischio = probabilità × gravità, utilizzando tipicamente scale qualitative per ricavare un livello, ad esempio basso, medio o alto. Seguire il metodo illustrato o individuato nella sezione 4.1.2. I fattori modulanti, non sempre presenti, possono contribuire ad aggiustare verso l’alto o verso il basso il rischio di base (probabilità × gravità), per riflettere le specificità concrete di questo trattamento e del suo contesto.</w:t>
      </w:r>
    </w:p>
    <w:p w14:paraId="20CE9653" w14:textId="77777777" w:rsidR="006A7F6D" w:rsidRDefault="00000000">
      <w:pPr>
        <w:ind w:left="397" w:hanging="397"/>
      </w:pPr>
      <w:r>
        <w:rPr>
          <w:b/>
          <w:color w:val="126F78"/>
        </w:rPr>
        <w:t>38</w:t>
      </w:r>
      <w:r>
        <w:rPr>
          <w:b/>
          <w:color w:val="126F78"/>
        </w:rPr>
        <w:tab/>
      </w:r>
      <w:r>
        <w:t>Valutare i rischi inerenti considerando la relativa probabilità e gravità</w:t>
      </w:r>
      <w:r>
        <w:rPr>
          <w:color w:val="126F78"/>
          <w:sz w:val="18"/>
          <w:vertAlign w:val="superscript"/>
        </w:rPr>
        <w:footnoteReference w:id="9"/>
      </w:r>
      <w:r>
        <w:t xml:space="preserve"> e gli altri fattori modulanti.</w:t>
      </w:r>
    </w:p>
    <w:p w14:paraId="3069BF9A" w14:textId="77777777" w:rsidR="006A7F6D" w:rsidRDefault="00000000">
      <w:pPr>
        <w:ind w:left="397" w:hanging="397"/>
      </w:pPr>
      <w:r>
        <w:rPr>
          <w:b/>
          <w:color w:val="126F78"/>
        </w:rPr>
        <w:t>39</w:t>
      </w:r>
      <w:r>
        <w:rPr>
          <w:b/>
          <w:color w:val="126F78"/>
        </w:rPr>
        <w:tab/>
      </w:r>
      <w:r>
        <w:t>Identificare chiaramente i rischi; i rischi non accettabili richiedono ulteriori misure di mitigazione prima che il trattamento di dati personali previsto possa essere effettuato.</w:t>
      </w:r>
    </w:p>
    <w:p w14:paraId="63E83B6E" w14:textId="77777777" w:rsidR="006A7F6D" w:rsidRDefault="00000000">
      <w:pPr>
        <w:ind w:left="397" w:hanging="397"/>
      </w:pPr>
      <w:r>
        <w:rPr>
          <w:b/>
          <w:color w:val="126F78"/>
        </w:rPr>
        <w:t>40</w:t>
      </w:r>
      <w:r>
        <w:rPr>
          <w:b/>
          <w:color w:val="126F78"/>
        </w:rPr>
        <w:tab/>
      </w:r>
      <w:r>
        <w:t>Se disponibili, fornire ulteriori supporti visivi (diagrammi, grafici, mappe, elenchi di priorità, ecc.) per documentare la valutazione del rischio inerente da diverse prospettive.</w:t>
      </w:r>
    </w:p>
    <w:p w14:paraId="5F3CC58C" w14:textId="77777777" w:rsidR="006A7F6D" w:rsidRDefault="00000000">
      <w:pPr>
        <w:pStyle w:val="Titolo2"/>
      </w:pPr>
      <w:bookmarkStart w:id="85" w:name="h39"/>
      <w:r>
        <w:t>4.2  Piano d’azione</w:t>
      </w:r>
      <w:bookmarkEnd w:id="85"/>
    </w:p>
    <w:p w14:paraId="39737CDA" w14:textId="77777777" w:rsidR="006A7F6D" w:rsidRDefault="00000000">
      <w:pPr>
        <w:pStyle w:val="Titolo3"/>
      </w:pPr>
      <w:bookmarkStart w:id="86" w:name="h40"/>
      <w:r>
        <w:t>4.2.1  Misure aggiuntive di mitigazione</w:t>
      </w:r>
      <w:bookmarkEnd w:id="86"/>
    </w:p>
    <w:p w14:paraId="1E898DBD" w14:textId="77777777" w:rsidR="006A7F6D" w:rsidRDefault="00000000">
      <w:pPr>
        <w:ind w:left="397" w:hanging="397"/>
      </w:pPr>
      <w:r>
        <w:rPr>
          <w:b/>
          <w:color w:val="126F78"/>
        </w:rPr>
        <w:t>41</w:t>
      </w:r>
      <w:r>
        <w:rPr>
          <w:b/>
          <w:color w:val="126F78"/>
        </w:rPr>
        <w:tab/>
      </w:r>
      <w:r>
        <w:t>Descrivere dettagliatamente le eventuali misure tecniche, giuridiche/contrattuali e organizzative aggiuntive, ossia non previste inizialmente, appropriate per gestire specifici rischi della sezione 4.1.3; indicarne lo stato di attuazione e discuterne l’adeguatezza e l’efficacia. Includere tutti i tipi di misure (si veda la sezione 2.3): misure a supporto del rispetto dei principi dell’articolo 5 GDPR; misure a supporto dell’esercizio dei diritti degli interessati; misure a supporto degli altri requisiti del GDPR; misure a supporto della protezione dei dati fin dalla progettazione e per impostazione predefinita; misure di sicurezza.</w:t>
      </w:r>
    </w:p>
    <w:p w14:paraId="1E0F5DA2" w14:textId="77777777" w:rsidR="006A7F6D" w:rsidRDefault="00000000">
      <w:pPr>
        <w:pStyle w:val="Titolo3"/>
      </w:pPr>
      <w:bookmarkStart w:id="87" w:name="h41"/>
      <w:r>
        <w:t>4.2.2  Valutazione del rischio residuo</w:t>
      </w:r>
      <w:bookmarkEnd w:id="87"/>
    </w:p>
    <w:p w14:paraId="4E87DEC0" w14:textId="77777777" w:rsidR="006A7F6D" w:rsidRDefault="00000000">
      <w:pPr>
        <w:ind w:left="397" w:hanging="397"/>
      </w:pPr>
      <w:r>
        <w:rPr>
          <w:b/>
          <w:color w:val="126F78"/>
        </w:rPr>
        <w:t>42</w:t>
      </w:r>
      <w:r>
        <w:rPr>
          <w:b/>
          <w:color w:val="126F78"/>
        </w:rPr>
        <w:tab/>
      </w:r>
      <w:r>
        <w:t>Il rischio residuo è il rischio che permane dopo che il titolare ha riflettuto sui rischi inaccettabili o eccessivamente elevati, ha deciso di aggiungere ulteriori misure di mitigazione e ha valutato in quale misura tali nuove misure riducano effettivamente il rischio inerente, iniziale o di base.</w:t>
      </w:r>
    </w:p>
    <w:p w14:paraId="4D794FDB" w14:textId="77777777" w:rsidR="006A7F6D" w:rsidRDefault="00000000">
      <w:pPr>
        <w:ind w:left="397" w:hanging="397"/>
      </w:pPr>
      <w:r>
        <w:rPr>
          <w:b/>
          <w:color w:val="126F78"/>
        </w:rPr>
        <w:t>43</w:t>
      </w:r>
      <w:r>
        <w:rPr>
          <w:b/>
          <w:color w:val="126F78"/>
        </w:rPr>
        <w:tab/>
      </w:r>
      <w:r>
        <w:t>Rivalutare i rischi considerando tutte queste nuove misure. Se disponibili, fornire ulteriori supporti visivi (diagrammi, grafici, mappe, elenchi di priorità, ecc.) che documentino la valutazione del rischio inerente da diverse prospettive.</w:t>
      </w:r>
    </w:p>
    <w:p w14:paraId="41F951CF" w14:textId="77777777" w:rsidR="006A7F6D" w:rsidRDefault="00000000">
      <w:pPr>
        <w:pStyle w:val="Titolo3"/>
      </w:pPr>
      <w:bookmarkStart w:id="88" w:name="h42"/>
      <w:r>
        <w:t>4.2.3  Piano</w:t>
      </w:r>
      <w:bookmarkEnd w:id="88"/>
    </w:p>
    <w:p w14:paraId="14C45675" w14:textId="77777777" w:rsidR="006A7F6D" w:rsidRDefault="00000000">
      <w:pPr>
        <w:ind w:left="397" w:hanging="397"/>
      </w:pPr>
      <w:r>
        <w:rPr>
          <w:b/>
          <w:color w:val="126F78"/>
        </w:rPr>
        <w:t>44</w:t>
      </w:r>
      <w:r>
        <w:rPr>
          <w:b/>
          <w:color w:val="126F78"/>
        </w:rPr>
        <w:tab/>
      </w:r>
      <w:r>
        <w:t>Fornire informazioni sulle attività necessarie per aggiungere correttamente queste nuove misure al trattamento, così da gestire adeguatamente i rischi per i diritti e le libertà delle persone (gruppo responsabile, tempistiche, ecc.) e per monitorare, riesaminare e aggiornare le misure proposte una volta avviato il trattamento. Rinviare alla documentazione esterna o agli allegati contenenti i dettagli, oppure inserirne i collegamenti.</w:t>
      </w:r>
    </w:p>
    <w:p w14:paraId="4B357B54" w14:textId="77777777" w:rsidR="006A7F6D" w:rsidRDefault="00000000">
      <w:r>
        <w:br w:type="page"/>
      </w:r>
    </w:p>
    <w:p w14:paraId="5DC92187" w14:textId="77777777" w:rsidR="006A7F6D" w:rsidRDefault="00000000">
      <w:pPr>
        <w:pStyle w:val="Titolo1"/>
      </w:pPr>
      <w:bookmarkStart w:id="89" w:name="h43"/>
      <w:r>
        <w:t>5  COINVOLGIMENTO DELLE PARTI INTERESSATE</w:t>
      </w:r>
      <w:bookmarkEnd w:id="89"/>
    </w:p>
    <w:p w14:paraId="081813FC" w14:textId="77777777" w:rsidR="006A7F6D" w:rsidRDefault="00000000">
      <w:pPr>
        <w:pStyle w:val="Titolo2"/>
      </w:pPr>
      <w:bookmarkStart w:id="90" w:name="h44"/>
      <w:r>
        <w:t>5.1  Parere del DPO</w:t>
      </w:r>
      <w:bookmarkEnd w:id="90"/>
    </w:p>
    <w:p w14:paraId="1EC35928" w14:textId="77777777" w:rsidR="006A7F6D" w:rsidRDefault="00000000">
      <w:pPr>
        <w:ind w:left="397" w:hanging="397"/>
      </w:pPr>
      <w:r>
        <w:rPr>
          <w:b/>
          <w:color w:val="126F78"/>
        </w:rPr>
        <w:t>45</w:t>
      </w:r>
      <w:r>
        <w:rPr>
          <w:b/>
          <w:color w:val="126F78"/>
        </w:rPr>
        <w:tab/>
      </w:r>
      <w:r>
        <w:t>Se è presente un DPO, o una funzione analoga, riportarne il parere, le conclusioni e le raccomandazioni sul trattamento previsto; ad esempio, documentare gli eventuali contributi del DPO sui rischi e sulle modalità per mitigarli.</w:t>
      </w:r>
    </w:p>
    <w:p w14:paraId="47400642" w14:textId="77777777" w:rsidR="006A7F6D" w:rsidRDefault="00000000">
      <w:pPr>
        <w:ind w:left="397" w:hanging="397"/>
      </w:pPr>
      <w:r>
        <w:rPr>
          <w:b/>
          <w:color w:val="126F78"/>
        </w:rPr>
        <w:t>46</w:t>
      </w:r>
      <w:r>
        <w:rPr>
          <w:b/>
          <w:color w:val="126F78"/>
        </w:rPr>
        <w:tab/>
      </w:r>
      <w:r>
        <w:t>Descrivere le azioni intraprese a seguito del parere del DPO durante lo svolgimento della DPIA e la pianificazione del trattamento. Rispondere alla domanda: «In che modo il titolare del trattamento ha dato attuazione alle indicazioni del DPO?».</w:t>
      </w:r>
    </w:p>
    <w:p w14:paraId="7E3CEAB0" w14:textId="77777777" w:rsidR="006A7F6D" w:rsidRDefault="00000000">
      <w:pPr>
        <w:pStyle w:val="Titolo2"/>
      </w:pPr>
      <w:bookmarkStart w:id="91" w:name="h45"/>
      <w:r>
        <w:t>5.2  Opinioni degli interessati o dei loro rappresentanti</w:t>
      </w:r>
      <w:bookmarkEnd w:id="91"/>
    </w:p>
    <w:p w14:paraId="0204648B" w14:textId="77777777" w:rsidR="006A7F6D" w:rsidRDefault="00000000">
      <w:pPr>
        <w:ind w:left="397" w:hanging="397"/>
      </w:pPr>
      <w:r>
        <w:rPr>
          <w:b/>
          <w:color w:val="126F78"/>
        </w:rPr>
        <w:t>47</w:t>
      </w:r>
      <w:r>
        <w:rPr>
          <w:b/>
          <w:color w:val="126F78"/>
        </w:rPr>
        <w:tab/>
      </w:r>
      <w:r>
        <w:t>Ove opportuno, riportare il parere, le conclusioni e le raccomandazioni degli interessati, o dei loro rappresentanti, sul trattamento previsto.</w:t>
      </w:r>
    </w:p>
    <w:p w14:paraId="7D91CCAF" w14:textId="77777777" w:rsidR="006A7F6D" w:rsidRDefault="00000000">
      <w:pPr>
        <w:ind w:left="397" w:hanging="397"/>
      </w:pPr>
      <w:r>
        <w:rPr>
          <w:b/>
          <w:color w:val="126F78"/>
        </w:rPr>
        <w:t>48</w:t>
      </w:r>
      <w:r>
        <w:rPr>
          <w:b/>
          <w:color w:val="126F78"/>
        </w:rPr>
        <w:tab/>
      </w:r>
      <w:r>
        <w:t>Illustrare la loro partecipazione al processo DPIA, includendo le spiegazioni dei motivi per cui tale partecipazione non sia stata ritenuta opportuna oppure non sia stata possibile.</w:t>
      </w:r>
    </w:p>
    <w:p w14:paraId="5D664B83" w14:textId="77777777" w:rsidR="006A7F6D" w:rsidRDefault="00000000">
      <w:pPr>
        <w:pStyle w:val="Titolo1"/>
      </w:pPr>
      <w:bookmarkStart w:id="92" w:name="h46"/>
      <w:r>
        <w:t>6  CONCLUSIONI E DECISIONE</w:t>
      </w:r>
      <w:bookmarkEnd w:id="92"/>
    </w:p>
    <w:p w14:paraId="386BCDC3" w14:textId="77777777" w:rsidR="006A7F6D" w:rsidRDefault="00000000">
      <w:pPr>
        <w:ind w:left="397" w:hanging="397"/>
      </w:pPr>
      <w:r>
        <w:rPr>
          <w:b/>
          <w:color w:val="126F78"/>
        </w:rPr>
        <w:t>49</w:t>
      </w:r>
      <w:r>
        <w:rPr>
          <w:b/>
          <w:color w:val="126F78"/>
        </w:rPr>
        <w:tab/>
      </w:r>
      <w:r>
        <w:t>Concludere con la decisione sulla praticabilità del trattamento di dati: (a) abbandonare il trattamento (i rischi sono inaccettabili, non è possibile superare uno dei test richiesti, ciò è raccomandato dal DPO, dagli interessati o dall’Autorità di controllo, ecc.); (b) consultare l’Autorità di controllo; (c) procedere con il trattamento secondo quanto pianificato; oppure (d) procedere con il trattamento a determinate condizioni, ad esempio modificandone la progettazione per affrontare meglio i rischi individuati. In quest’ultimo caso, illustrare le condizioni specifiche che devono essere soddisfatte prima di procedere, ad esempio collegandole alle sezioni precedenti del modello, in particolare alla sottosezione 4.2.</w:t>
      </w:r>
    </w:p>
    <w:p w14:paraId="1AC17E45" w14:textId="77777777" w:rsidR="006A7F6D" w:rsidRDefault="00000000">
      <w:pPr>
        <w:ind w:left="397" w:hanging="397"/>
      </w:pPr>
      <w:r>
        <w:rPr>
          <w:b/>
          <w:color w:val="126F78"/>
        </w:rPr>
        <w:t>50</w:t>
      </w:r>
      <w:r>
        <w:rPr>
          <w:b/>
          <w:color w:val="126F78"/>
        </w:rPr>
        <w:tab/>
      </w:r>
      <w:r>
        <w:t>Facoltativamente, spiegare o motivare la decisione.</w:t>
      </w:r>
    </w:p>
    <w:p w14:paraId="0C15DB09" w14:textId="77777777" w:rsidR="006A7F6D" w:rsidRDefault="00000000">
      <w:r>
        <w:rPr>
          <w:sz w:val="20"/>
        </w:rPr>
        <w:t>Per il Comitato europeo per la protezione dei dati</w:t>
      </w:r>
      <w:r>
        <w:rPr>
          <w:sz w:val="20"/>
        </w:rPr>
        <w:br/>
        <w:t>La Presidente</w:t>
      </w:r>
      <w:r>
        <w:rPr>
          <w:sz w:val="20"/>
        </w:rPr>
        <w:br/>
        <w:t>Anu Talus</w:t>
      </w:r>
    </w:p>
    <w:p w14:paraId="3D80A410" w14:textId="77777777" w:rsidR="006A7F6D" w:rsidRDefault="00000000">
      <w:r>
        <w:br w:type="page"/>
      </w:r>
    </w:p>
    <w:p w14:paraId="0B22D1B5" w14:textId="77777777" w:rsidR="006A7F6D" w:rsidRDefault="00000000">
      <w:pPr>
        <w:pStyle w:val="Titolo1"/>
      </w:pPr>
      <w:bookmarkStart w:id="93" w:name="h47"/>
      <w:r>
        <w:t>Allegato 1 — LINEE GUIDA DELLE AUTORITÀ DI CONTROLLO PER LO SVOLGIMENTO DELLE DPIA</w:t>
      </w:r>
      <w:bookmarkEnd w:id="93"/>
    </w:p>
    <w:p w14:paraId="51D3C2B4" w14:textId="77777777" w:rsidR="006A7F6D" w:rsidRDefault="00000000">
      <w:r>
        <w:t>Si tenga inoltre presente che la guida EDPB sulla protezione dei dati per le piccole imprese può essere utile nello svolgimento delle DPIA:</w:t>
      </w:r>
    </w:p>
    <w:p w14:paraId="43E144D6" w14:textId="77777777" w:rsidR="006A7F6D" w:rsidRDefault="00000000">
      <w:pPr>
        <w:pStyle w:val="Small"/>
      </w:pPr>
      <w:hyperlink r:id="rId9">
        <w:r>
          <w:rPr>
            <w:color w:val="126F78"/>
          </w:rPr>
          <w:t>https:/​/​www.​edpb.​europa.​eu/​sme-​data-​protection-​guide/​home_​en</w:t>
        </w:r>
      </w:hyperlink>
    </w:p>
    <w:tbl>
      <w:tblPr>
        <w:tblW w:w="9865"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381"/>
        <w:gridCol w:w="7484"/>
      </w:tblGrid>
      <w:tr w:rsidR="006A7F6D" w14:paraId="2827BF0B" w14:textId="77777777">
        <w:trPr>
          <w:tblHeader/>
          <w:jc w:val="center"/>
        </w:trPr>
        <w:tc>
          <w:tcPr>
            <w:tcW w:w="2381" w:type="dxa"/>
            <w:shd w:val="clear" w:color="auto" w:fill="17324D"/>
            <w:tcMar>
              <w:top w:w="110" w:type="dxa"/>
              <w:left w:w="110" w:type="dxa"/>
              <w:bottom w:w="110" w:type="dxa"/>
              <w:right w:w="110" w:type="dxa"/>
            </w:tcMar>
          </w:tcPr>
          <w:p w14:paraId="341AB097" w14:textId="77777777" w:rsidR="006A7F6D" w:rsidRDefault="00000000">
            <w:pPr>
              <w:pStyle w:val="TableHeader"/>
            </w:pPr>
            <w:r>
              <w:t>Autorità di controllo</w:t>
            </w:r>
          </w:p>
        </w:tc>
        <w:tc>
          <w:tcPr>
            <w:tcW w:w="7483" w:type="dxa"/>
            <w:shd w:val="clear" w:color="auto" w:fill="17324D"/>
            <w:tcMar>
              <w:top w:w="110" w:type="dxa"/>
              <w:left w:w="110" w:type="dxa"/>
              <w:bottom w:w="110" w:type="dxa"/>
              <w:right w:w="110" w:type="dxa"/>
            </w:tcMar>
          </w:tcPr>
          <w:p w14:paraId="7EF56B71" w14:textId="77777777" w:rsidR="006A7F6D" w:rsidRDefault="00000000">
            <w:pPr>
              <w:pStyle w:val="TableHeader"/>
            </w:pPr>
            <w:r>
              <w:t>Collegamento</w:t>
            </w:r>
          </w:p>
        </w:tc>
      </w:tr>
      <w:tr w:rsidR="006A7F6D" w14:paraId="262671B6" w14:textId="77777777">
        <w:trPr>
          <w:cantSplit/>
          <w:jc w:val="center"/>
        </w:trPr>
        <w:tc>
          <w:tcPr>
            <w:tcW w:w="2381" w:type="dxa"/>
            <w:shd w:val="clear" w:color="auto" w:fill="F1F5F8"/>
            <w:tcMar>
              <w:top w:w="90" w:type="dxa"/>
              <w:left w:w="110" w:type="dxa"/>
              <w:bottom w:w="90" w:type="dxa"/>
              <w:right w:w="110" w:type="dxa"/>
            </w:tcMar>
          </w:tcPr>
          <w:p w14:paraId="17D8DF8B" w14:textId="77777777" w:rsidR="006A7F6D" w:rsidRDefault="00000000">
            <w:pPr>
              <w:pStyle w:val="TableBody"/>
            </w:pPr>
            <w:r>
              <w:t>1. Austria (AT)</w:t>
            </w:r>
          </w:p>
        </w:tc>
        <w:tc>
          <w:tcPr>
            <w:tcW w:w="7483" w:type="dxa"/>
            <w:tcMar>
              <w:top w:w="90" w:type="dxa"/>
              <w:left w:w="110" w:type="dxa"/>
              <w:bottom w:w="90" w:type="dxa"/>
              <w:right w:w="110" w:type="dxa"/>
            </w:tcMar>
          </w:tcPr>
          <w:p w14:paraId="7604831A" w14:textId="77777777" w:rsidR="006A7F6D" w:rsidRDefault="00000000">
            <w:pPr>
              <w:pStyle w:val="Small"/>
            </w:pPr>
            <w:hyperlink r:id="rId10">
              <w:r>
                <w:rPr>
                  <w:color w:val="126F78"/>
                  <w:sz w:val="16"/>
                </w:rPr>
                <w:t>https:/​/​dsb.​gv.​at/​faqs/​verpflichtungen-​fuer-​unternehmen</w:t>
              </w:r>
            </w:hyperlink>
          </w:p>
        </w:tc>
      </w:tr>
      <w:tr w:rsidR="006A7F6D" w14:paraId="37E20721" w14:textId="77777777">
        <w:trPr>
          <w:cantSplit/>
          <w:jc w:val="center"/>
        </w:trPr>
        <w:tc>
          <w:tcPr>
            <w:tcW w:w="2381" w:type="dxa"/>
            <w:shd w:val="clear" w:color="auto" w:fill="F1F5F8"/>
            <w:tcMar>
              <w:top w:w="90" w:type="dxa"/>
              <w:left w:w="110" w:type="dxa"/>
              <w:bottom w:w="90" w:type="dxa"/>
              <w:right w:w="110" w:type="dxa"/>
            </w:tcMar>
          </w:tcPr>
          <w:p w14:paraId="2BE510EF" w14:textId="77777777" w:rsidR="006A7F6D" w:rsidRDefault="00000000">
            <w:pPr>
              <w:pStyle w:val="TableBody"/>
            </w:pPr>
            <w:r>
              <w:t>2. Belgio (BE)</w:t>
            </w:r>
          </w:p>
        </w:tc>
        <w:tc>
          <w:tcPr>
            <w:tcW w:w="7483" w:type="dxa"/>
            <w:tcMar>
              <w:top w:w="90" w:type="dxa"/>
              <w:left w:w="110" w:type="dxa"/>
              <w:bottom w:w="90" w:type="dxa"/>
              <w:right w:w="110" w:type="dxa"/>
            </w:tcMar>
          </w:tcPr>
          <w:p w14:paraId="0DC7750C" w14:textId="77777777" w:rsidR="006A7F6D" w:rsidRDefault="006A7F6D"/>
        </w:tc>
      </w:tr>
      <w:tr w:rsidR="006A7F6D" w14:paraId="70B6A246" w14:textId="77777777">
        <w:trPr>
          <w:cantSplit/>
          <w:jc w:val="center"/>
        </w:trPr>
        <w:tc>
          <w:tcPr>
            <w:tcW w:w="2381" w:type="dxa"/>
            <w:shd w:val="clear" w:color="auto" w:fill="F1F5F8"/>
            <w:tcMar>
              <w:top w:w="90" w:type="dxa"/>
              <w:left w:w="110" w:type="dxa"/>
              <w:bottom w:w="90" w:type="dxa"/>
              <w:right w:w="110" w:type="dxa"/>
            </w:tcMar>
          </w:tcPr>
          <w:p w14:paraId="7538588C" w14:textId="77777777" w:rsidR="006A7F6D" w:rsidRDefault="00000000">
            <w:pPr>
              <w:pStyle w:val="TableBody"/>
            </w:pPr>
            <w:r>
              <w:t>3. Bulgaria (BG)</w:t>
            </w:r>
          </w:p>
        </w:tc>
        <w:tc>
          <w:tcPr>
            <w:tcW w:w="7483" w:type="dxa"/>
            <w:tcMar>
              <w:top w:w="90" w:type="dxa"/>
              <w:left w:w="110" w:type="dxa"/>
              <w:bottom w:w="90" w:type="dxa"/>
              <w:right w:w="110" w:type="dxa"/>
            </w:tcMar>
          </w:tcPr>
          <w:p w14:paraId="0DA9F1B7" w14:textId="77777777" w:rsidR="006A7F6D" w:rsidRDefault="00000000">
            <w:pPr>
              <w:pStyle w:val="Small"/>
            </w:pPr>
            <w:hyperlink r:id="rId11">
              <w:r>
                <w:rPr>
                  <w:color w:val="126F78"/>
                  <w:sz w:val="16"/>
                </w:rPr>
                <w:t>https:/​/​cpdp.​bg/​%​d1%​81%​d0%​bf%​d0%​b8%​d1%​81%​d1%​8a%​d0%​ba-​%​d0%​bd%​d0%​b0-​%​d0%​b2%​d0%​b8%​d0%​b4%​d0%​be%​d0%​b2%​d0%​b5%​d1%​82%​d0%​b5-​%​d0%​be%​d0%​bf%​d0%​b5%​d1%​80%​d0%​b0%​d1%​86%​d0%​b8%​d0%​b8-​%​d0%​bf%​d0%​be-​%​d0%​be%​d0%​b1%​d1%​80%​d0%​b0%​d0%​b1%​d0%​be/​</w:t>
              </w:r>
            </w:hyperlink>
          </w:p>
          <w:p w14:paraId="4BAAC0E3" w14:textId="77777777" w:rsidR="006A7F6D" w:rsidRDefault="00000000">
            <w:pPr>
              <w:pStyle w:val="Small"/>
            </w:pPr>
            <w:hyperlink r:id="rId12">
              <w:r>
                <w:rPr>
                  <w:color w:val="126F78"/>
                  <w:sz w:val="16"/>
                </w:rPr>
                <w:t>https:/​/​cpdp.​bg/​%​D1%​81%​D0%​BF%​D0%​B8%​D1%​81%​D1%​8A%​D0%​BA-​%​D0%​BD%​D0%​B0-​%​D0%​BE%​D0%​BF%​D0%​B5%​D1%​80%​D0%​B0%​D1%​86%​D0%​B8%​D0%​B8%​D1%​82%​D0%​B5-​%​D0%​BF%​D0%​BE-​%​D0%​BE%​D0%​B1%​D1%​80%​D0%​B0%​D0%​B1%​D0%​BE%​D1%​82%​D0%​B2%​D0%​B0%​D0%​BD%​D0%​B5-​%​D0%​BD/​</w:t>
              </w:r>
            </w:hyperlink>
          </w:p>
        </w:tc>
      </w:tr>
      <w:tr w:rsidR="006A7F6D" w14:paraId="2D6FEED4" w14:textId="77777777">
        <w:trPr>
          <w:cantSplit/>
          <w:jc w:val="center"/>
        </w:trPr>
        <w:tc>
          <w:tcPr>
            <w:tcW w:w="2381" w:type="dxa"/>
            <w:shd w:val="clear" w:color="auto" w:fill="F1F5F8"/>
            <w:tcMar>
              <w:top w:w="90" w:type="dxa"/>
              <w:left w:w="110" w:type="dxa"/>
              <w:bottom w:w="90" w:type="dxa"/>
              <w:right w:w="110" w:type="dxa"/>
            </w:tcMar>
          </w:tcPr>
          <w:p w14:paraId="297C4128" w14:textId="77777777" w:rsidR="006A7F6D" w:rsidRDefault="00000000">
            <w:pPr>
              <w:pStyle w:val="TableBody"/>
            </w:pPr>
            <w:r>
              <w:t>4. Croazia (HR)</w:t>
            </w:r>
          </w:p>
        </w:tc>
        <w:tc>
          <w:tcPr>
            <w:tcW w:w="7483" w:type="dxa"/>
            <w:tcMar>
              <w:top w:w="90" w:type="dxa"/>
              <w:left w:w="110" w:type="dxa"/>
              <w:bottom w:w="90" w:type="dxa"/>
              <w:right w:w="110" w:type="dxa"/>
            </w:tcMar>
          </w:tcPr>
          <w:p w14:paraId="1EDC5A66" w14:textId="77777777" w:rsidR="006A7F6D" w:rsidRDefault="00000000">
            <w:pPr>
              <w:pStyle w:val="Small"/>
            </w:pPr>
            <w:hyperlink r:id="rId13">
              <w:r>
                <w:rPr>
                  <w:color w:val="126F78"/>
                  <w:sz w:val="16"/>
                </w:rPr>
                <w:t>https:/​/​azop.​hr/​procjena-​ucinka-​na-​zastitu-​podataka-​eng-​data-​protection-​impact-​assessment-​dpia/​</w:t>
              </w:r>
            </w:hyperlink>
          </w:p>
          <w:p w14:paraId="0684BDBF" w14:textId="77777777" w:rsidR="006A7F6D" w:rsidRDefault="00000000">
            <w:pPr>
              <w:pStyle w:val="Small"/>
            </w:pPr>
            <w:hyperlink r:id="rId14">
              <w:r>
                <w:rPr>
                  <w:color w:val="126F78"/>
                  <w:sz w:val="16"/>
                </w:rPr>
                <w:t>https:/​/​olivia-​gdpr-​arc.​eu/​hr/​topic/​show/​9</w:t>
              </w:r>
            </w:hyperlink>
          </w:p>
        </w:tc>
      </w:tr>
      <w:tr w:rsidR="006A7F6D" w14:paraId="6B6A4BA2" w14:textId="77777777">
        <w:trPr>
          <w:cantSplit/>
          <w:jc w:val="center"/>
        </w:trPr>
        <w:tc>
          <w:tcPr>
            <w:tcW w:w="2381" w:type="dxa"/>
            <w:shd w:val="clear" w:color="auto" w:fill="F1F5F8"/>
            <w:tcMar>
              <w:top w:w="90" w:type="dxa"/>
              <w:left w:w="110" w:type="dxa"/>
              <w:bottom w:w="90" w:type="dxa"/>
              <w:right w:w="110" w:type="dxa"/>
            </w:tcMar>
          </w:tcPr>
          <w:p w14:paraId="3A29F576" w14:textId="77777777" w:rsidR="006A7F6D" w:rsidRDefault="00000000">
            <w:pPr>
              <w:pStyle w:val="TableBody"/>
            </w:pPr>
            <w:r>
              <w:t>5. Cipro (CY)</w:t>
            </w:r>
          </w:p>
        </w:tc>
        <w:tc>
          <w:tcPr>
            <w:tcW w:w="7483" w:type="dxa"/>
            <w:tcMar>
              <w:top w:w="90" w:type="dxa"/>
              <w:left w:w="110" w:type="dxa"/>
              <w:bottom w:w="90" w:type="dxa"/>
              <w:right w:w="110" w:type="dxa"/>
            </w:tcMar>
          </w:tcPr>
          <w:p w14:paraId="76BA7D6A" w14:textId="77777777" w:rsidR="006A7F6D" w:rsidRDefault="006A7F6D"/>
        </w:tc>
      </w:tr>
      <w:tr w:rsidR="006A7F6D" w14:paraId="42AC499B" w14:textId="77777777">
        <w:trPr>
          <w:cantSplit/>
          <w:jc w:val="center"/>
        </w:trPr>
        <w:tc>
          <w:tcPr>
            <w:tcW w:w="2381" w:type="dxa"/>
            <w:shd w:val="clear" w:color="auto" w:fill="F1F5F8"/>
            <w:tcMar>
              <w:top w:w="90" w:type="dxa"/>
              <w:left w:w="110" w:type="dxa"/>
              <w:bottom w:w="90" w:type="dxa"/>
              <w:right w:w="110" w:type="dxa"/>
            </w:tcMar>
          </w:tcPr>
          <w:p w14:paraId="67E47711" w14:textId="77777777" w:rsidR="006A7F6D" w:rsidRDefault="00000000">
            <w:pPr>
              <w:pStyle w:val="TableBody"/>
            </w:pPr>
            <w:r>
              <w:t>6. Repubblica ceca (CZ)</w:t>
            </w:r>
          </w:p>
        </w:tc>
        <w:tc>
          <w:tcPr>
            <w:tcW w:w="7483" w:type="dxa"/>
            <w:tcMar>
              <w:top w:w="90" w:type="dxa"/>
              <w:left w:w="110" w:type="dxa"/>
              <w:bottom w:w="90" w:type="dxa"/>
              <w:right w:w="110" w:type="dxa"/>
            </w:tcMar>
          </w:tcPr>
          <w:p w14:paraId="42B8B2B3" w14:textId="77777777" w:rsidR="006A7F6D" w:rsidRDefault="00000000">
            <w:pPr>
              <w:pStyle w:val="Small"/>
            </w:pPr>
            <w:hyperlink r:id="rId15">
              <w:r>
                <w:rPr>
                  <w:color w:val="126F78"/>
                  <w:sz w:val="16"/>
                </w:rPr>
                <w:t>https:/​/​uoou.​gov.​cz/​media/​profesional/​metodika-​obecneho-​posouzeni-​vlivu-​na-​ochranu-​osobnich-​udaju.​pdf</w:t>
              </w:r>
            </w:hyperlink>
          </w:p>
        </w:tc>
      </w:tr>
      <w:tr w:rsidR="006A7F6D" w14:paraId="009EEA0D" w14:textId="77777777">
        <w:trPr>
          <w:cantSplit/>
          <w:jc w:val="center"/>
        </w:trPr>
        <w:tc>
          <w:tcPr>
            <w:tcW w:w="2381" w:type="dxa"/>
            <w:shd w:val="clear" w:color="auto" w:fill="F1F5F8"/>
            <w:tcMar>
              <w:top w:w="90" w:type="dxa"/>
              <w:left w:w="110" w:type="dxa"/>
              <w:bottom w:w="90" w:type="dxa"/>
              <w:right w:w="110" w:type="dxa"/>
            </w:tcMar>
          </w:tcPr>
          <w:p w14:paraId="66908B35" w14:textId="77777777" w:rsidR="006A7F6D" w:rsidRDefault="00000000">
            <w:pPr>
              <w:pStyle w:val="TableBody"/>
            </w:pPr>
            <w:r>
              <w:t>7. Danimarca (DK)</w:t>
            </w:r>
          </w:p>
        </w:tc>
        <w:tc>
          <w:tcPr>
            <w:tcW w:w="7483" w:type="dxa"/>
            <w:tcMar>
              <w:top w:w="90" w:type="dxa"/>
              <w:left w:w="110" w:type="dxa"/>
              <w:bottom w:w="90" w:type="dxa"/>
              <w:right w:w="110" w:type="dxa"/>
            </w:tcMar>
          </w:tcPr>
          <w:p w14:paraId="52397088" w14:textId="77777777" w:rsidR="006A7F6D" w:rsidRDefault="00000000">
            <w:pPr>
              <w:pStyle w:val="Small"/>
            </w:pPr>
            <w:hyperlink r:id="rId16">
              <w:r>
                <w:rPr>
                  <w:color w:val="126F78"/>
                  <w:sz w:val="16"/>
                </w:rPr>
                <w:t>https:/​/​www.​datatilsynet.​dk/​regler-​og-​vejledning/​behandlingssikkerhed/​konsekvensanalyse</w:t>
              </w:r>
            </w:hyperlink>
          </w:p>
        </w:tc>
      </w:tr>
      <w:tr w:rsidR="006A7F6D" w14:paraId="25391434" w14:textId="77777777">
        <w:trPr>
          <w:cantSplit/>
          <w:jc w:val="center"/>
        </w:trPr>
        <w:tc>
          <w:tcPr>
            <w:tcW w:w="2381" w:type="dxa"/>
            <w:shd w:val="clear" w:color="auto" w:fill="F1F5F8"/>
            <w:tcMar>
              <w:top w:w="90" w:type="dxa"/>
              <w:left w:w="110" w:type="dxa"/>
              <w:bottom w:w="90" w:type="dxa"/>
              <w:right w:w="110" w:type="dxa"/>
            </w:tcMar>
          </w:tcPr>
          <w:p w14:paraId="6B85A3A0" w14:textId="77777777" w:rsidR="006A7F6D" w:rsidRDefault="00000000">
            <w:pPr>
              <w:pStyle w:val="TableBody"/>
            </w:pPr>
            <w:r>
              <w:t>8. EDPS</w:t>
            </w:r>
          </w:p>
        </w:tc>
        <w:tc>
          <w:tcPr>
            <w:tcW w:w="7483" w:type="dxa"/>
            <w:tcMar>
              <w:top w:w="90" w:type="dxa"/>
              <w:left w:w="110" w:type="dxa"/>
              <w:bottom w:w="90" w:type="dxa"/>
              <w:right w:w="110" w:type="dxa"/>
            </w:tcMar>
          </w:tcPr>
          <w:p w14:paraId="00E32618" w14:textId="77777777" w:rsidR="006A7F6D" w:rsidRDefault="006A7F6D"/>
        </w:tc>
      </w:tr>
      <w:tr w:rsidR="006A7F6D" w14:paraId="15D7FA82" w14:textId="77777777">
        <w:trPr>
          <w:cantSplit/>
          <w:jc w:val="center"/>
        </w:trPr>
        <w:tc>
          <w:tcPr>
            <w:tcW w:w="2381" w:type="dxa"/>
            <w:shd w:val="clear" w:color="auto" w:fill="F1F5F8"/>
            <w:tcMar>
              <w:top w:w="90" w:type="dxa"/>
              <w:left w:w="110" w:type="dxa"/>
              <w:bottom w:w="90" w:type="dxa"/>
              <w:right w:w="110" w:type="dxa"/>
            </w:tcMar>
          </w:tcPr>
          <w:p w14:paraId="19C8CC30" w14:textId="77777777" w:rsidR="006A7F6D" w:rsidRDefault="00000000">
            <w:pPr>
              <w:pStyle w:val="TableBody"/>
            </w:pPr>
            <w:r>
              <w:t>9. Estonia (EE)</w:t>
            </w:r>
          </w:p>
        </w:tc>
        <w:tc>
          <w:tcPr>
            <w:tcW w:w="7483" w:type="dxa"/>
            <w:tcMar>
              <w:top w:w="90" w:type="dxa"/>
              <w:left w:w="110" w:type="dxa"/>
              <w:bottom w:w="90" w:type="dxa"/>
              <w:right w:w="110" w:type="dxa"/>
            </w:tcMar>
          </w:tcPr>
          <w:p w14:paraId="474DFC61" w14:textId="77777777" w:rsidR="006A7F6D" w:rsidRDefault="00000000">
            <w:pPr>
              <w:pStyle w:val="Small"/>
            </w:pPr>
            <w:hyperlink r:id="rId17">
              <w:r>
                <w:rPr>
                  <w:color w:val="126F78"/>
                  <w:sz w:val="16"/>
                </w:rPr>
                <w:t>https:/​/​www.​aki.​ee/​uudised/​mis-​asi-​mojuhinnang</w:t>
              </w:r>
            </w:hyperlink>
          </w:p>
        </w:tc>
      </w:tr>
      <w:tr w:rsidR="006A7F6D" w14:paraId="5479ADB2" w14:textId="77777777">
        <w:trPr>
          <w:cantSplit/>
          <w:jc w:val="center"/>
        </w:trPr>
        <w:tc>
          <w:tcPr>
            <w:tcW w:w="2381" w:type="dxa"/>
            <w:shd w:val="clear" w:color="auto" w:fill="F1F5F8"/>
            <w:tcMar>
              <w:top w:w="90" w:type="dxa"/>
              <w:left w:w="110" w:type="dxa"/>
              <w:bottom w:w="90" w:type="dxa"/>
              <w:right w:w="110" w:type="dxa"/>
            </w:tcMar>
          </w:tcPr>
          <w:p w14:paraId="19B2002E" w14:textId="77777777" w:rsidR="006A7F6D" w:rsidRDefault="00000000">
            <w:pPr>
              <w:pStyle w:val="TableBody"/>
            </w:pPr>
            <w:r>
              <w:t>10. Finlandia (FI)</w:t>
            </w:r>
          </w:p>
        </w:tc>
        <w:tc>
          <w:tcPr>
            <w:tcW w:w="7483" w:type="dxa"/>
            <w:tcMar>
              <w:top w:w="90" w:type="dxa"/>
              <w:left w:w="110" w:type="dxa"/>
              <w:bottom w:w="90" w:type="dxa"/>
              <w:right w:w="110" w:type="dxa"/>
            </w:tcMar>
          </w:tcPr>
          <w:p w14:paraId="5CBDABF7" w14:textId="77777777" w:rsidR="006A7F6D" w:rsidRDefault="00000000">
            <w:pPr>
              <w:pStyle w:val="Small"/>
            </w:pPr>
            <w:r>
              <w:rPr>
                <w:sz w:val="16"/>
              </w:rPr>
              <w:t xml:space="preserve">(FI) </w:t>
            </w:r>
            <w:hyperlink r:id="rId18">
              <w:r>
                <w:rPr>
                  <w:color w:val="126F78"/>
                  <w:sz w:val="16"/>
                </w:rPr>
                <w:t>https:/​/​tietosuoja.​fi/​vaikutustenarviointi</w:t>
              </w:r>
            </w:hyperlink>
          </w:p>
          <w:p w14:paraId="737B18F7" w14:textId="77777777" w:rsidR="006A7F6D" w:rsidRDefault="00000000">
            <w:pPr>
              <w:pStyle w:val="Small"/>
            </w:pPr>
            <w:r>
              <w:rPr>
                <w:sz w:val="16"/>
              </w:rPr>
              <w:t xml:space="preserve">(EN) </w:t>
            </w:r>
            <w:hyperlink r:id="rId19">
              <w:r>
                <w:rPr>
                  <w:color w:val="126F78"/>
                  <w:sz w:val="16"/>
                </w:rPr>
                <w:t>https:/​/​tietosuoja.​fi/​en/​impact-​assessments</w:t>
              </w:r>
            </w:hyperlink>
          </w:p>
        </w:tc>
      </w:tr>
      <w:tr w:rsidR="006A7F6D" w14:paraId="07A05DEB" w14:textId="77777777">
        <w:trPr>
          <w:cantSplit/>
          <w:jc w:val="center"/>
        </w:trPr>
        <w:tc>
          <w:tcPr>
            <w:tcW w:w="2381" w:type="dxa"/>
            <w:shd w:val="clear" w:color="auto" w:fill="F1F5F8"/>
            <w:tcMar>
              <w:top w:w="90" w:type="dxa"/>
              <w:left w:w="110" w:type="dxa"/>
              <w:bottom w:w="90" w:type="dxa"/>
              <w:right w:w="110" w:type="dxa"/>
            </w:tcMar>
          </w:tcPr>
          <w:p w14:paraId="5B096A24" w14:textId="77777777" w:rsidR="006A7F6D" w:rsidRDefault="00000000">
            <w:pPr>
              <w:pStyle w:val="TableBody"/>
            </w:pPr>
            <w:r>
              <w:t>11. Francia (FR)</w:t>
            </w:r>
          </w:p>
        </w:tc>
        <w:tc>
          <w:tcPr>
            <w:tcW w:w="7483" w:type="dxa"/>
            <w:tcMar>
              <w:top w:w="90" w:type="dxa"/>
              <w:left w:w="110" w:type="dxa"/>
              <w:bottom w:w="90" w:type="dxa"/>
              <w:right w:w="110" w:type="dxa"/>
            </w:tcMar>
          </w:tcPr>
          <w:p w14:paraId="1339D72D" w14:textId="77777777" w:rsidR="006A7F6D" w:rsidRDefault="00000000">
            <w:pPr>
              <w:pStyle w:val="Small"/>
            </w:pPr>
            <w:r>
              <w:rPr>
                <w:sz w:val="16"/>
              </w:rPr>
              <w:t xml:space="preserve">(FR) </w:t>
            </w:r>
            <w:hyperlink r:id="rId20">
              <w:r>
                <w:rPr>
                  <w:color w:val="126F78"/>
                  <w:sz w:val="16"/>
                </w:rPr>
                <w:t>https:/​/​www.​cnil.​fr/​fr/​guides-​aipd</w:t>
              </w:r>
            </w:hyperlink>
          </w:p>
          <w:p w14:paraId="2D0082A2" w14:textId="77777777" w:rsidR="006A7F6D" w:rsidRDefault="00000000">
            <w:pPr>
              <w:pStyle w:val="Small"/>
            </w:pPr>
            <w:r>
              <w:rPr>
                <w:sz w:val="16"/>
              </w:rPr>
              <w:t xml:space="preserve">(EN) </w:t>
            </w:r>
            <w:hyperlink r:id="rId21">
              <w:r>
                <w:rPr>
                  <w:color w:val="126F78"/>
                  <w:sz w:val="16"/>
                </w:rPr>
                <w:t>https:/​/​www.​cnil.​fr/​en/​privacy-​impact-​assessment-​pia</w:t>
              </w:r>
            </w:hyperlink>
          </w:p>
        </w:tc>
      </w:tr>
      <w:tr w:rsidR="006A7F6D" w14:paraId="5CDDC1C6" w14:textId="77777777">
        <w:trPr>
          <w:cantSplit/>
          <w:jc w:val="center"/>
        </w:trPr>
        <w:tc>
          <w:tcPr>
            <w:tcW w:w="2381" w:type="dxa"/>
            <w:shd w:val="clear" w:color="auto" w:fill="F1F5F8"/>
            <w:tcMar>
              <w:top w:w="90" w:type="dxa"/>
              <w:left w:w="110" w:type="dxa"/>
              <w:bottom w:w="90" w:type="dxa"/>
              <w:right w:w="110" w:type="dxa"/>
            </w:tcMar>
          </w:tcPr>
          <w:p w14:paraId="2E3FA46A" w14:textId="77777777" w:rsidR="006A7F6D" w:rsidRDefault="00000000">
            <w:pPr>
              <w:pStyle w:val="TableBody"/>
            </w:pPr>
            <w:r>
              <w:t>12. Germania (DE)</w:t>
            </w:r>
          </w:p>
        </w:tc>
        <w:tc>
          <w:tcPr>
            <w:tcW w:w="7483" w:type="dxa"/>
            <w:tcMar>
              <w:top w:w="90" w:type="dxa"/>
              <w:left w:w="110" w:type="dxa"/>
              <w:bottom w:w="90" w:type="dxa"/>
              <w:right w:w="110" w:type="dxa"/>
            </w:tcMar>
          </w:tcPr>
          <w:p w14:paraId="5A933825" w14:textId="77777777" w:rsidR="006A7F6D" w:rsidRDefault="00000000">
            <w:pPr>
              <w:pStyle w:val="Small"/>
            </w:pPr>
            <w:hyperlink r:id="rId22">
              <w:r>
                <w:rPr>
                  <w:color w:val="126F78"/>
                  <w:sz w:val="16"/>
                </w:rPr>
                <w:t>https:/​/​www.​datenschutz-​mv.​de/​datenschutz/​datenschutzmodell/​</w:t>
              </w:r>
            </w:hyperlink>
          </w:p>
        </w:tc>
      </w:tr>
      <w:tr w:rsidR="006A7F6D" w14:paraId="293673B3" w14:textId="77777777">
        <w:trPr>
          <w:cantSplit/>
          <w:jc w:val="center"/>
        </w:trPr>
        <w:tc>
          <w:tcPr>
            <w:tcW w:w="2381" w:type="dxa"/>
            <w:shd w:val="clear" w:color="auto" w:fill="F1F5F8"/>
            <w:tcMar>
              <w:top w:w="90" w:type="dxa"/>
              <w:left w:w="110" w:type="dxa"/>
              <w:bottom w:w="90" w:type="dxa"/>
              <w:right w:w="110" w:type="dxa"/>
            </w:tcMar>
          </w:tcPr>
          <w:p w14:paraId="425FBD12" w14:textId="77777777" w:rsidR="006A7F6D" w:rsidRDefault="00000000">
            <w:pPr>
              <w:pStyle w:val="TableBody"/>
            </w:pPr>
            <w:r>
              <w:t>13. Grecia (EL)</w:t>
            </w:r>
          </w:p>
        </w:tc>
        <w:tc>
          <w:tcPr>
            <w:tcW w:w="7483" w:type="dxa"/>
            <w:tcMar>
              <w:top w:w="90" w:type="dxa"/>
              <w:left w:w="110" w:type="dxa"/>
              <w:bottom w:w="90" w:type="dxa"/>
              <w:right w:w="110" w:type="dxa"/>
            </w:tcMar>
          </w:tcPr>
          <w:p w14:paraId="6DE523D8" w14:textId="77777777" w:rsidR="006A7F6D" w:rsidRDefault="00000000">
            <w:pPr>
              <w:pStyle w:val="Small"/>
            </w:pPr>
            <w:r>
              <w:rPr>
                <w:sz w:val="16"/>
              </w:rPr>
              <w:t xml:space="preserve">(EL) </w:t>
            </w:r>
            <w:hyperlink r:id="rId23">
              <w:r>
                <w:rPr>
                  <w:color w:val="126F78"/>
                  <w:sz w:val="16"/>
                </w:rPr>
                <w:t>https:/​/​www.​dpa.​gr/​el/​foreis/​ektimisi_​adiktipou_​kai_​diavouleush</w:t>
              </w:r>
            </w:hyperlink>
          </w:p>
          <w:p w14:paraId="0A9CFA2D" w14:textId="77777777" w:rsidR="006A7F6D" w:rsidRDefault="00000000">
            <w:pPr>
              <w:pStyle w:val="Small"/>
            </w:pPr>
            <w:hyperlink r:id="rId24">
              <w:r>
                <w:rPr>
                  <w:color w:val="126F78"/>
                  <w:sz w:val="16"/>
                </w:rPr>
                <w:t>https:/​/​www.​dpa.​gr/​foreis/​ektimisi_​adiktipou_​kai_​diavouleush/​ektimisi_​adiktipou</w:t>
              </w:r>
            </w:hyperlink>
          </w:p>
          <w:p w14:paraId="4336489E" w14:textId="77777777" w:rsidR="006A7F6D" w:rsidRDefault="00000000">
            <w:pPr>
              <w:pStyle w:val="Small"/>
            </w:pPr>
            <w:r>
              <w:rPr>
                <w:sz w:val="16"/>
              </w:rPr>
              <w:t xml:space="preserve">(EN) </w:t>
            </w:r>
            <w:hyperlink r:id="rId25">
              <w:r>
                <w:rPr>
                  <w:color w:val="126F78"/>
                  <w:sz w:val="16"/>
                </w:rPr>
                <w:t>https:/​/​www.​dpa.​gr/​en/​Organisations/​Impact_​Assessment</w:t>
              </w:r>
            </w:hyperlink>
          </w:p>
          <w:p w14:paraId="148CBF0D" w14:textId="77777777" w:rsidR="006A7F6D" w:rsidRDefault="00000000">
            <w:pPr>
              <w:pStyle w:val="Small"/>
            </w:pPr>
            <w:hyperlink r:id="rId26">
              <w:r>
                <w:rPr>
                  <w:color w:val="126F78"/>
                  <w:sz w:val="16"/>
                </w:rPr>
                <w:t>https:/​/​www.​dpa.​gr/​en/​by-​design/​risk-​assessment-​dpia</w:t>
              </w:r>
            </w:hyperlink>
          </w:p>
          <w:p w14:paraId="768A0D8B" w14:textId="77777777" w:rsidR="006A7F6D" w:rsidRDefault="00000000">
            <w:pPr>
              <w:pStyle w:val="Small"/>
            </w:pPr>
            <w:hyperlink r:id="rId27">
              <w:r>
                <w:rPr>
                  <w:color w:val="126F78"/>
                  <w:sz w:val="16"/>
                </w:rPr>
                <w:t>https:/​/​www.​dpa.​gr/​en/​by-​design/​ict-​organizational-​gdpr-​roles-​dpia</w:t>
              </w:r>
            </w:hyperlink>
          </w:p>
        </w:tc>
      </w:tr>
      <w:tr w:rsidR="006A7F6D" w14:paraId="790A21BC" w14:textId="77777777">
        <w:trPr>
          <w:cantSplit/>
          <w:jc w:val="center"/>
        </w:trPr>
        <w:tc>
          <w:tcPr>
            <w:tcW w:w="2381" w:type="dxa"/>
            <w:shd w:val="clear" w:color="auto" w:fill="F1F5F8"/>
            <w:tcMar>
              <w:top w:w="90" w:type="dxa"/>
              <w:left w:w="110" w:type="dxa"/>
              <w:bottom w:w="90" w:type="dxa"/>
              <w:right w:w="110" w:type="dxa"/>
            </w:tcMar>
          </w:tcPr>
          <w:p w14:paraId="29016A94" w14:textId="77777777" w:rsidR="006A7F6D" w:rsidRDefault="00000000">
            <w:pPr>
              <w:pStyle w:val="TableBody"/>
            </w:pPr>
            <w:r>
              <w:t>14. Ungheria (HU)</w:t>
            </w:r>
          </w:p>
        </w:tc>
        <w:tc>
          <w:tcPr>
            <w:tcW w:w="7483" w:type="dxa"/>
            <w:tcMar>
              <w:top w:w="90" w:type="dxa"/>
              <w:left w:w="110" w:type="dxa"/>
              <w:bottom w:w="90" w:type="dxa"/>
              <w:right w:w="110" w:type="dxa"/>
            </w:tcMar>
          </w:tcPr>
          <w:p w14:paraId="36626D5C" w14:textId="77777777" w:rsidR="006A7F6D" w:rsidRDefault="006A7F6D"/>
        </w:tc>
      </w:tr>
      <w:tr w:rsidR="006A7F6D" w14:paraId="7226D920" w14:textId="77777777">
        <w:trPr>
          <w:cantSplit/>
          <w:jc w:val="center"/>
        </w:trPr>
        <w:tc>
          <w:tcPr>
            <w:tcW w:w="2381" w:type="dxa"/>
            <w:shd w:val="clear" w:color="auto" w:fill="F1F5F8"/>
            <w:tcMar>
              <w:top w:w="90" w:type="dxa"/>
              <w:left w:w="110" w:type="dxa"/>
              <w:bottom w:w="90" w:type="dxa"/>
              <w:right w:w="110" w:type="dxa"/>
            </w:tcMar>
          </w:tcPr>
          <w:p w14:paraId="14BD15CC" w14:textId="77777777" w:rsidR="006A7F6D" w:rsidRDefault="00000000">
            <w:pPr>
              <w:pStyle w:val="TableBody"/>
            </w:pPr>
            <w:r>
              <w:t>15. Islanda (IS)</w:t>
            </w:r>
          </w:p>
        </w:tc>
        <w:tc>
          <w:tcPr>
            <w:tcW w:w="7483" w:type="dxa"/>
            <w:tcMar>
              <w:top w:w="90" w:type="dxa"/>
              <w:left w:w="110" w:type="dxa"/>
              <w:bottom w:w="90" w:type="dxa"/>
              <w:right w:w="110" w:type="dxa"/>
            </w:tcMar>
          </w:tcPr>
          <w:p w14:paraId="34F9E72F" w14:textId="77777777" w:rsidR="006A7F6D" w:rsidRDefault="006A7F6D"/>
        </w:tc>
      </w:tr>
      <w:tr w:rsidR="006A7F6D" w14:paraId="4EE983FB" w14:textId="77777777">
        <w:trPr>
          <w:cantSplit/>
          <w:jc w:val="center"/>
        </w:trPr>
        <w:tc>
          <w:tcPr>
            <w:tcW w:w="2381" w:type="dxa"/>
            <w:shd w:val="clear" w:color="auto" w:fill="F1F5F8"/>
            <w:tcMar>
              <w:top w:w="90" w:type="dxa"/>
              <w:left w:w="110" w:type="dxa"/>
              <w:bottom w:w="90" w:type="dxa"/>
              <w:right w:w="110" w:type="dxa"/>
            </w:tcMar>
          </w:tcPr>
          <w:p w14:paraId="5764A5C5" w14:textId="77777777" w:rsidR="006A7F6D" w:rsidRDefault="00000000">
            <w:pPr>
              <w:pStyle w:val="TableBody"/>
            </w:pPr>
            <w:r>
              <w:t>16. Irlanda (IE)</w:t>
            </w:r>
          </w:p>
        </w:tc>
        <w:tc>
          <w:tcPr>
            <w:tcW w:w="7483" w:type="dxa"/>
            <w:tcMar>
              <w:top w:w="90" w:type="dxa"/>
              <w:left w:w="110" w:type="dxa"/>
              <w:bottom w:w="90" w:type="dxa"/>
              <w:right w:w="110" w:type="dxa"/>
            </w:tcMar>
          </w:tcPr>
          <w:p w14:paraId="4B386E3A" w14:textId="77777777" w:rsidR="006A7F6D" w:rsidRDefault="00000000">
            <w:pPr>
              <w:pStyle w:val="Small"/>
            </w:pPr>
            <w:hyperlink r:id="rId28">
              <w:r>
                <w:rPr>
                  <w:color w:val="126F78"/>
                  <w:sz w:val="16"/>
                </w:rPr>
                <w:t>https:/​/​www.​dataprotection.​ie/​en/​dpc-​guidance/​guide-​data-​protection-​impact-​assessments</w:t>
              </w:r>
            </w:hyperlink>
          </w:p>
        </w:tc>
      </w:tr>
      <w:tr w:rsidR="006A7F6D" w14:paraId="00B6A09E" w14:textId="77777777">
        <w:trPr>
          <w:cantSplit/>
          <w:jc w:val="center"/>
        </w:trPr>
        <w:tc>
          <w:tcPr>
            <w:tcW w:w="2381" w:type="dxa"/>
            <w:shd w:val="clear" w:color="auto" w:fill="F1F5F8"/>
            <w:tcMar>
              <w:top w:w="90" w:type="dxa"/>
              <w:left w:w="110" w:type="dxa"/>
              <w:bottom w:w="90" w:type="dxa"/>
              <w:right w:w="110" w:type="dxa"/>
            </w:tcMar>
          </w:tcPr>
          <w:p w14:paraId="6F791703" w14:textId="77777777" w:rsidR="006A7F6D" w:rsidRDefault="00000000">
            <w:pPr>
              <w:pStyle w:val="TableBody"/>
            </w:pPr>
            <w:r>
              <w:t>17. Italia (IT)</w:t>
            </w:r>
          </w:p>
        </w:tc>
        <w:tc>
          <w:tcPr>
            <w:tcW w:w="7483" w:type="dxa"/>
            <w:tcMar>
              <w:top w:w="90" w:type="dxa"/>
              <w:left w:w="110" w:type="dxa"/>
              <w:bottom w:w="90" w:type="dxa"/>
              <w:right w:w="110" w:type="dxa"/>
            </w:tcMar>
          </w:tcPr>
          <w:p w14:paraId="1374BE56" w14:textId="77777777" w:rsidR="006A7F6D" w:rsidRDefault="006A7F6D"/>
        </w:tc>
      </w:tr>
      <w:tr w:rsidR="006A7F6D" w14:paraId="7B566159" w14:textId="77777777">
        <w:trPr>
          <w:cantSplit/>
          <w:jc w:val="center"/>
        </w:trPr>
        <w:tc>
          <w:tcPr>
            <w:tcW w:w="2381" w:type="dxa"/>
            <w:shd w:val="clear" w:color="auto" w:fill="F1F5F8"/>
            <w:tcMar>
              <w:top w:w="90" w:type="dxa"/>
              <w:left w:w="110" w:type="dxa"/>
              <w:bottom w:w="90" w:type="dxa"/>
              <w:right w:w="110" w:type="dxa"/>
            </w:tcMar>
          </w:tcPr>
          <w:p w14:paraId="793C89CA" w14:textId="77777777" w:rsidR="006A7F6D" w:rsidRDefault="00000000">
            <w:pPr>
              <w:pStyle w:val="TableBody"/>
            </w:pPr>
            <w:r>
              <w:t>18. Lettonia (LV)</w:t>
            </w:r>
          </w:p>
        </w:tc>
        <w:tc>
          <w:tcPr>
            <w:tcW w:w="7483" w:type="dxa"/>
            <w:tcMar>
              <w:top w:w="90" w:type="dxa"/>
              <w:left w:w="110" w:type="dxa"/>
              <w:bottom w:w="90" w:type="dxa"/>
              <w:right w:w="110" w:type="dxa"/>
            </w:tcMar>
          </w:tcPr>
          <w:p w14:paraId="227EF3A9" w14:textId="77777777" w:rsidR="006A7F6D" w:rsidRDefault="00000000">
            <w:pPr>
              <w:pStyle w:val="Small"/>
            </w:pPr>
            <w:hyperlink r:id="rId29">
              <w:r>
                <w:rPr>
                  <w:color w:val="126F78"/>
                  <w:sz w:val="16"/>
                </w:rPr>
                <w:t>https:/​/​www.​dvi.​gov.​lv/​lv/​novertejums-​par-​ietekmi-​uz-​datu-​aizsardzibu-​nida</w:t>
              </w:r>
            </w:hyperlink>
          </w:p>
        </w:tc>
      </w:tr>
      <w:tr w:rsidR="006A7F6D" w14:paraId="28072D6B" w14:textId="77777777">
        <w:trPr>
          <w:cantSplit/>
          <w:jc w:val="center"/>
        </w:trPr>
        <w:tc>
          <w:tcPr>
            <w:tcW w:w="2381" w:type="dxa"/>
            <w:shd w:val="clear" w:color="auto" w:fill="F1F5F8"/>
            <w:tcMar>
              <w:top w:w="90" w:type="dxa"/>
              <w:left w:w="110" w:type="dxa"/>
              <w:bottom w:w="90" w:type="dxa"/>
              <w:right w:w="110" w:type="dxa"/>
            </w:tcMar>
          </w:tcPr>
          <w:p w14:paraId="3BE1940F" w14:textId="77777777" w:rsidR="006A7F6D" w:rsidRDefault="00000000">
            <w:pPr>
              <w:pStyle w:val="TableBody"/>
            </w:pPr>
            <w:r>
              <w:t>19. Liechtenstein</w:t>
            </w:r>
          </w:p>
        </w:tc>
        <w:tc>
          <w:tcPr>
            <w:tcW w:w="7483" w:type="dxa"/>
            <w:tcMar>
              <w:top w:w="90" w:type="dxa"/>
              <w:left w:w="110" w:type="dxa"/>
              <w:bottom w:w="90" w:type="dxa"/>
              <w:right w:w="110" w:type="dxa"/>
            </w:tcMar>
          </w:tcPr>
          <w:p w14:paraId="57F9DFAF" w14:textId="77777777" w:rsidR="006A7F6D" w:rsidRDefault="006A7F6D"/>
        </w:tc>
      </w:tr>
      <w:tr w:rsidR="006A7F6D" w14:paraId="0DB5A9EC" w14:textId="77777777">
        <w:trPr>
          <w:cantSplit/>
          <w:jc w:val="center"/>
        </w:trPr>
        <w:tc>
          <w:tcPr>
            <w:tcW w:w="2381" w:type="dxa"/>
            <w:shd w:val="clear" w:color="auto" w:fill="F1F5F8"/>
            <w:tcMar>
              <w:top w:w="90" w:type="dxa"/>
              <w:left w:w="110" w:type="dxa"/>
              <w:bottom w:w="90" w:type="dxa"/>
              <w:right w:w="110" w:type="dxa"/>
            </w:tcMar>
          </w:tcPr>
          <w:p w14:paraId="36662A7A" w14:textId="77777777" w:rsidR="006A7F6D" w:rsidRDefault="00000000">
            <w:pPr>
              <w:pStyle w:val="TableBody"/>
            </w:pPr>
            <w:r>
              <w:t>20. Lituania (LT)</w:t>
            </w:r>
          </w:p>
        </w:tc>
        <w:tc>
          <w:tcPr>
            <w:tcW w:w="7483" w:type="dxa"/>
            <w:tcMar>
              <w:top w:w="90" w:type="dxa"/>
              <w:left w:w="110" w:type="dxa"/>
              <w:bottom w:w="90" w:type="dxa"/>
              <w:right w:w="110" w:type="dxa"/>
            </w:tcMar>
          </w:tcPr>
          <w:p w14:paraId="0878648A" w14:textId="77777777" w:rsidR="006A7F6D" w:rsidRDefault="006A7F6D"/>
        </w:tc>
      </w:tr>
      <w:tr w:rsidR="006A7F6D" w14:paraId="0DAEC805" w14:textId="77777777">
        <w:trPr>
          <w:cantSplit/>
          <w:jc w:val="center"/>
        </w:trPr>
        <w:tc>
          <w:tcPr>
            <w:tcW w:w="2381" w:type="dxa"/>
            <w:shd w:val="clear" w:color="auto" w:fill="F1F5F8"/>
            <w:tcMar>
              <w:top w:w="90" w:type="dxa"/>
              <w:left w:w="110" w:type="dxa"/>
              <w:bottom w:w="90" w:type="dxa"/>
              <w:right w:w="110" w:type="dxa"/>
            </w:tcMar>
          </w:tcPr>
          <w:p w14:paraId="0D448786" w14:textId="77777777" w:rsidR="006A7F6D" w:rsidRDefault="00000000">
            <w:pPr>
              <w:pStyle w:val="TableBody"/>
            </w:pPr>
            <w:r>
              <w:t>21. Lussemburgo (LU)</w:t>
            </w:r>
          </w:p>
        </w:tc>
        <w:tc>
          <w:tcPr>
            <w:tcW w:w="7483" w:type="dxa"/>
            <w:tcMar>
              <w:top w:w="90" w:type="dxa"/>
              <w:left w:w="110" w:type="dxa"/>
              <w:bottom w:w="90" w:type="dxa"/>
              <w:right w:w="110" w:type="dxa"/>
            </w:tcMar>
          </w:tcPr>
          <w:p w14:paraId="190FC96B" w14:textId="77777777" w:rsidR="006A7F6D" w:rsidRDefault="006A7F6D"/>
        </w:tc>
      </w:tr>
      <w:tr w:rsidR="006A7F6D" w14:paraId="4F876C62" w14:textId="77777777">
        <w:trPr>
          <w:cantSplit/>
          <w:jc w:val="center"/>
        </w:trPr>
        <w:tc>
          <w:tcPr>
            <w:tcW w:w="2381" w:type="dxa"/>
            <w:shd w:val="clear" w:color="auto" w:fill="F1F5F8"/>
            <w:tcMar>
              <w:top w:w="90" w:type="dxa"/>
              <w:left w:w="110" w:type="dxa"/>
              <w:bottom w:w="90" w:type="dxa"/>
              <w:right w:w="110" w:type="dxa"/>
            </w:tcMar>
          </w:tcPr>
          <w:p w14:paraId="053C197F" w14:textId="77777777" w:rsidR="006A7F6D" w:rsidRDefault="00000000">
            <w:pPr>
              <w:pStyle w:val="TableBody"/>
            </w:pPr>
            <w:r>
              <w:t>22. Malta (MT)</w:t>
            </w:r>
          </w:p>
        </w:tc>
        <w:tc>
          <w:tcPr>
            <w:tcW w:w="7483" w:type="dxa"/>
            <w:tcMar>
              <w:top w:w="90" w:type="dxa"/>
              <w:left w:w="110" w:type="dxa"/>
              <w:bottom w:w="90" w:type="dxa"/>
              <w:right w:w="110" w:type="dxa"/>
            </w:tcMar>
          </w:tcPr>
          <w:p w14:paraId="6DAAE105" w14:textId="77777777" w:rsidR="006A7F6D" w:rsidRDefault="00000000">
            <w:pPr>
              <w:pStyle w:val="Small"/>
            </w:pPr>
            <w:hyperlink r:id="rId30">
              <w:r>
                <w:rPr>
                  <w:color w:val="126F78"/>
                  <w:sz w:val="16"/>
                </w:rPr>
                <w:t>https:/​/​idpc.​org.​mt/​for-​organisations/​data-​protection-​impact-​assessment/​</w:t>
              </w:r>
            </w:hyperlink>
          </w:p>
        </w:tc>
      </w:tr>
      <w:tr w:rsidR="006A7F6D" w14:paraId="702FEF10" w14:textId="77777777">
        <w:trPr>
          <w:cantSplit/>
          <w:jc w:val="center"/>
        </w:trPr>
        <w:tc>
          <w:tcPr>
            <w:tcW w:w="2381" w:type="dxa"/>
            <w:shd w:val="clear" w:color="auto" w:fill="F1F5F8"/>
            <w:tcMar>
              <w:top w:w="90" w:type="dxa"/>
              <w:left w:w="110" w:type="dxa"/>
              <w:bottom w:w="90" w:type="dxa"/>
              <w:right w:w="110" w:type="dxa"/>
            </w:tcMar>
          </w:tcPr>
          <w:p w14:paraId="1955D747" w14:textId="77777777" w:rsidR="006A7F6D" w:rsidRDefault="00000000">
            <w:pPr>
              <w:pStyle w:val="TableBody"/>
            </w:pPr>
            <w:r>
              <w:t>23. Paesi Bassi (NL)</w:t>
            </w:r>
          </w:p>
        </w:tc>
        <w:tc>
          <w:tcPr>
            <w:tcW w:w="7483" w:type="dxa"/>
            <w:tcMar>
              <w:top w:w="90" w:type="dxa"/>
              <w:left w:w="110" w:type="dxa"/>
              <w:bottom w:w="90" w:type="dxa"/>
              <w:right w:w="110" w:type="dxa"/>
            </w:tcMar>
          </w:tcPr>
          <w:p w14:paraId="0D3072F2" w14:textId="77777777" w:rsidR="006A7F6D" w:rsidRDefault="00000000">
            <w:pPr>
              <w:pStyle w:val="Small"/>
            </w:pPr>
            <w:r>
              <w:rPr>
                <w:sz w:val="16"/>
              </w:rPr>
              <w:t xml:space="preserve">(NL) </w:t>
            </w:r>
            <w:hyperlink r:id="rId31">
              <w:r>
                <w:rPr>
                  <w:color w:val="126F78"/>
                  <w:sz w:val="16"/>
                </w:rPr>
                <w:t>https:/​/​autoriteitpersoonsgegevens.​nl/​themas/​basis-​avg/​praktisch-​avg/​data-​protection-​impact-​assessment-​dpia</w:t>
              </w:r>
            </w:hyperlink>
          </w:p>
          <w:p w14:paraId="16B67194" w14:textId="77777777" w:rsidR="006A7F6D" w:rsidRDefault="00000000">
            <w:pPr>
              <w:pStyle w:val="Small"/>
            </w:pPr>
            <w:r>
              <w:rPr>
                <w:sz w:val="16"/>
              </w:rPr>
              <w:t xml:space="preserve">(EN) </w:t>
            </w:r>
            <w:hyperlink r:id="rId32">
              <w:r>
                <w:rPr>
                  <w:color w:val="126F78"/>
                  <w:sz w:val="16"/>
                </w:rPr>
                <w:t>https:/​/​autoriteitpersoonsgegevens.​nl/​en/​themes/​basic-​gdpr/​gdpr-​in-​practice/​data-​protection-​impact-​assessment-​dpia</w:t>
              </w:r>
            </w:hyperlink>
          </w:p>
        </w:tc>
      </w:tr>
      <w:tr w:rsidR="006A7F6D" w14:paraId="62A1A4FC" w14:textId="77777777">
        <w:trPr>
          <w:cantSplit/>
          <w:jc w:val="center"/>
        </w:trPr>
        <w:tc>
          <w:tcPr>
            <w:tcW w:w="2381" w:type="dxa"/>
            <w:shd w:val="clear" w:color="auto" w:fill="F1F5F8"/>
            <w:tcMar>
              <w:top w:w="90" w:type="dxa"/>
              <w:left w:w="110" w:type="dxa"/>
              <w:bottom w:w="90" w:type="dxa"/>
              <w:right w:w="110" w:type="dxa"/>
            </w:tcMar>
          </w:tcPr>
          <w:p w14:paraId="79F330C5" w14:textId="77777777" w:rsidR="006A7F6D" w:rsidRDefault="00000000">
            <w:pPr>
              <w:pStyle w:val="TableBody"/>
            </w:pPr>
            <w:r>
              <w:t>24. Norvegia (NO)</w:t>
            </w:r>
          </w:p>
        </w:tc>
        <w:tc>
          <w:tcPr>
            <w:tcW w:w="7483" w:type="dxa"/>
            <w:tcMar>
              <w:top w:w="90" w:type="dxa"/>
              <w:left w:w="110" w:type="dxa"/>
              <w:bottom w:w="90" w:type="dxa"/>
              <w:right w:w="110" w:type="dxa"/>
            </w:tcMar>
          </w:tcPr>
          <w:p w14:paraId="01A2EE6E" w14:textId="77777777" w:rsidR="006A7F6D" w:rsidRDefault="006A7F6D"/>
        </w:tc>
      </w:tr>
      <w:tr w:rsidR="006A7F6D" w14:paraId="7E003EBD" w14:textId="77777777">
        <w:trPr>
          <w:cantSplit/>
          <w:jc w:val="center"/>
        </w:trPr>
        <w:tc>
          <w:tcPr>
            <w:tcW w:w="2381" w:type="dxa"/>
            <w:shd w:val="clear" w:color="auto" w:fill="F1F5F8"/>
            <w:tcMar>
              <w:top w:w="90" w:type="dxa"/>
              <w:left w:w="110" w:type="dxa"/>
              <w:bottom w:w="90" w:type="dxa"/>
              <w:right w:w="110" w:type="dxa"/>
            </w:tcMar>
          </w:tcPr>
          <w:p w14:paraId="6E434C22" w14:textId="77777777" w:rsidR="006A7F6D" w:rsidRDefault="00000000">
            <w:pPr>
              <w:pStyle w:val="TableBody"/>
            </w:pPr>
            <w:r>
              <w:t>25. Polonia (PL)</w:t>
            </w:r>
          </w:p>
        </w:tc>
        <w:tc>
          <w:tcPr>
            <w:tcW w:w="7483" w:type="dxa"/>
            <w:tcMar>
              <w:top w:w="90" w:type="dxa"/>
              <w:left w:w="110" w:type="dxa"/>
              <w:bottom w:w="90" w:type="dxa"/>
              <w:right w:w="110" w:type="dxa"/>
            </w:tcMar>
          </w:tcPr>
          <w:p w14:paraId="26CCB1EF" w14:textId="77777777" w:rsidR="006A7F6D" w:rsidRDefault="00000000">
            <w:pPr>
              <w:pStyle w:val="Small"/>
            </w:pPr>
            <w:r>
              <w:rPr>
                <w:sz w:val="16"/>
              </w:rPr>
              <w:t xml:space="preserve">(PL) </w:t>
            </w:r>
            <w:hyperlink r:id="rId33">
              <w:r>
                <w:rPr>
                  <w:color w:val="126F78"/>
                  <w:sz w:val="16"/>
                </w:rPr>
                <w:t>https:/​/​uodo.​gov.​pl/​pl/​598/​3617</w:t>
              </w:r>
            </w:hyperlink>
          </w:p>
          <w:p w14:paraId="15D2E1C9" w14:textId="77777777" w:rsidR="006A7F6D" w:rsidRDefault="00000000">
            <w:pPr>
              <w:pStyle w:val="Small"/>
            </w:pPr>
            <w:r>
              <w:rPr>
                <w:sz w:val="16"/>
              </w:rPr>
              <w:t xml:space="preserve">(EN) </w:t>
            </w:r>
            <w:hyperlink r:id="rId34">
              <w:r>
                <w:rPr>
                  <w:color w:val="126F78"/>
                  <w:sz w:val="16"/>
                </w:rPr>
                <w:t>https:/​/​uodo.​gov.​pl/​en/​553/​1882</w:t>
              </w:r>
            </w:hyperlink>
          </w:p>
          <w:p w14:paraId="562CAC31" w14:textId="77777777" w:rsidR="006A7F6D" w:rsidRDefault="00000000">
            <w:pPr>
              <w:pStyle w:val="Small"/>
            </w:pPr>
            <w:hyperlink r:id="rId35">
              <w:r>
                <w:rPr>
                  <w:color w:val="126F78"/>
                  <w:sz w:val="16"/>
                </w:rPr>
                <w:t>https:/​/​monitorpolski.​gov.​pl/​MP/​2019/​666</w:t>
              </w:r>
            </w:hyperlink>
          </w:p>
          <w:p w14:paraId="0AD6BB48" w14:textId="77777777" w:rsidR="006A7F6D" w:rsidRDefault="00000000">
            <w:pPr>
              <w:pStyle w:val="Small"/>
            </w:pPr>
            <w:hyperlink r:id="rId36">
              <w:r>
                <w:rPr>
                  <w:color w:val="126F78"/>
                  <w:sz w:val="16"/>
                </w:rPr>
                <w:t>https:/​/​uodo.​gov.​pl/​500</w:t>
              </w:r>
            </w:hyperlink>
          </w:p>
          <w:p w14:paraId="6ADB66B6" w14:textId="77777777" w:rsidR="006A7F6D" w:rsidRDefault="00000000">
            <w:pPr>
              <w:pStyle w:val="Small"/>
            </w:pPr>
            <w:hyperlink r:id="rId37">
              <w:r>
                <w:rPr>
                  <w:color w:val="126F78"/>
                  <w:sz w:val="16"/>
                </w:rPr>
                <w:t>https:/​/​uodo.​gov.​pl/​pl/​138/​605</w:t>
              </w:r>
            </w:hyperlink>
          </w:p>
        </w:tc>
      </w:tr>
      <w:tr w:rsidR="006A7F6D" w14:paraId="1E140092" w14:textId="77777777">
        <w:trPr>
          <w:cantSplit/>
          <w:jc w:val="center"/>
        </w:trPr>
        <w:tc>
          <w:tcPr>
            <w:tcW w:w="2381" w:type="dxa"/>
            <w:shd w:val="clear" w:color="auto" w:fill="F1F5F8"/>
            <w:tcMar>
              <w:top w:w="90" w:type="dxa"/>
              <w:left w:w="110" w:type="dxa"/>
              <w:bottom w:w="90" w:type="dxa"/>
              <w:right w:w="110" w:type="dxa"/>
            </w:tcMar>
          </w:tcPr>
          <w:p w14:paraId="6A73C4C8" w14:textId="77777777" w:rsidR="006A7F6D" w:rsidRDefault="00000000">
            <w:pPr>
              <w:pStyle w:val="TableBody"/>
            </w:pPr>
            <w:r>
              <w:t>26. Portogallo (PT)</w:t>
            </w:r>
          </w:p>
        </w:tc>
        <w:tc>
          <w:tcPr>
            <w:tcW w:w="7483" w:type="dxa"/>
            <w:tcMar>
              <w:top w:w="90" w:type="dxa"/>
              <w:left w:w="110" w:type="dxa"/>
              <w:bottom w:w="90" w:type="dxa"/>
              <w:right w:w="110" w:type="dxa"/>
            </w:tcMar>
          </w:tcPr>
          <w:p w14:paraId="76510AB0" w14:textId="77777777" w:rsidR="006A7F6D" w:rsidRDefault="006A7F6D"/>
        </w:tc>
      </w:tr>
      <w:tr w:rsidR="006A7F6D" w14:paraId="1933A5D5" w14:textId="77777777">
        <w:trPr>
          <w:cantSplit/>
          <w:jc w:val="center"/>
        </w:trPr>
        <w:tc>
          <w:tcPr>
            <w:tcW w:w="2381" w:type="dxa"/>
            <w:shd w:val="clear" w:color="auto" w:fill="F1F5F8"/>
            <w:tcMar>
              <w:top w:w="90" w:type="dxa"/>
              <w:left w:w="110" w:type="dxa"/>
              <w:bottom w:w="90" w:type="dxa"/>
              <w:right w:w="110" w:type="dxa"/>
            </w:tcMar>
          </w:tcPr>
          <w:p w14:paraId="0066939F" w14:textId="77777777" w:rsidR="006A7F6D" w:rsidRDefault="00000000">
            <w:pPr>
              <w:pStyle w:val="TableBody"/>
            </w:pPr>
            <w:r>
              <w:t>27. Romania (RO)</w:t>
            </w:r>
          </w:p>
        </w:tc>
        <w:tc>
          <w:tcPr>
            <w:tcW w:w="7483" w:type="dxa"/>
            <w:tcMar>
              <w:top w:w="90" w:type="dxa"/>
              <w:left w:w="110" w:type="dxa"/>
              <w:bottom w:w="90" w:type="dxa"/>
              <w:right w:w="110" w:type="dxa"/>
            </w:tcMar>
          </w:tcPr>
          <w:p w14:paraId="7A39DF2C" w14:textId="77777777" w:rsidR="006A7F6D" w:rsidRDefault="006A7F6D"/>
        </w:tc>
      </w:tr>
      <w:tr w:rsidR="006A7F6D" w14:paraId="4567153A" w14:textId="77777777">
        <w:trPr>
          <w:cantSplit/>
          <w:jc w:val="center"/>
        </w:trPr>
        <w:tc>
          <w:tcPr>
            <w:tcW w:w="2381" w:type="dxa"/>
            <w:shd w:val="clear" w:color="auto" w:fill="F1F5F8"/>
            <w:tcMar>
              <w:top w:w="90" w:type="dxa"/>
              <w:left w:w="110" w:type="dxa"/>
              <w:bottom w:w="90" w:type="dxa"/>
              <w:right w:w="110" w:type="dxa"/>
            </w:tcMar>
          </w:tcPr>
          <w:p w14:paraId="6D6D8E34" w14:textId="77777777" w:rsidR="006A7F6D" w:rsidRDefault="00000000">
            <w:pPr>
              <w:pStyle w:val="TableBody"/>
            </w:pPr>
            <w:r>
              <w:t>28. Slovacchia (SK)</w:t>
            </w:r>
          </w:p>
        </w:tc>
        <w:tc>
          <w:tcPr>
            <w:tcW w:w="7483" w:type="dxa"/>
            <w:tcMar>
              <w:top w:w="90" w:type="dxa"/>
              <w:left w:w="110" w:type="dxa"/>
              <w:bottom w:w="90" w:type="dxa"/>
              <w:right w:w="110" w:type="dxa"/>
            </w:tcMar>
          </w:tcPr>
          <w:p w14:paraId="1EF55914" w14:textId="77777777" w:rsidR="006A7F6D" w:rsidRDefault="006A7F6D"/>
        </w:tc>
      </w:tr>
      <w:tr w:rsidR="006A7F6D" w14:paraId="4A7F36CF" w14:textId="77777777">
        <w:trPr>
          <w:cantSplit/>
          <w:jc w:val="center"/>
        </w:trPr>
        <w:tc>
          <w:tcPr>
            <w:tcW w:w="2381" w:type="dxa"/>
            <w:shd w:val="clear" w:color="auto" w:fill="F1F5F8"/>
            <w:tcMar>
              <w:top w:w="90" w:type="dxa"/>
              <w:left w:w="110" w:type="dxa"/>
              <w:bottom w:w="90" w:type="dxa"/>
              <w:right w:w="110" w:type="dxa"/>
            </w:tcMar>
          </w:tcPr>
          <w:p w14:paraId="1EA63E6B" w14:textId="77777777" w:rsidR="006A7F6D" w:rsidRDefault="00000000">
            <w:pPr>
              <w:pStyle w:val="TableBody"/>
            </w:pPr>
            <w:r>
              <w:t>29. Slovenia (SI)</w:t>
            </w:r>
          </w:p>
        </w:tc>
        <w:tc>
          <w:tcPr>
            <w:tcW w:w="7483" w:type="dxa"/>
            <w:tcMar>
              <w:top w:w="90" w:type="dxa"/>
              <w:left w:w="110" w:type="dxa"/>
              <w:bottom w:w="90" w:type="dxa"/>
              <w:right w:w="110" w:type="dxa"/>
            </w:tcMar>
          </w:tcPr>
          <w:p w14:paraId="6AB55B5F" w14:textId="77777777" w:rsidR="006A7F6D" w:rsidRDefault="00000000">
            <w:pPr>
              <w:pStyle w:val="Small"/>
            </w:pPr>
            <w:hyperlink r:id="rId38">
              <w:r>
                <w:rPr>
                  <w:color w:val="126F78"/>
                  <w:sz w:val="16"/>
                </w:rPr>
                <w:t>https:/​/​www.​ip-​rs.​si/​fileadmin/​user_​upload/​Pdf/​Ocene_​ucinkov/​Smernice_​o_​ocenah_​ucinka_​_​DPIA_​_​julij2018.​pdf</w:t>
              </w:r>
            </w:hyperlink>
          </w:p>
        </w:tc>
      </w:tr>
      <w:tr w:rsidR="006A7F6D" w14:paraId="6ACD0826" w14:textId="77777777">
        <w:trPr>
          <w:cantSplit/>
          <w:jc w:val="center"/>
        </w:trPr>
        <w:tc>
          <w:tcPr>
            <w:tcW w:w="2381" w:type="dxa"/>
            <w:shd w:val="clear" w:color="auto" w:fill="F1F5F8"/>
            <w:tcMar>
              <w:top w:w="90" w:type="dxa"/>
              <w:left w:w="110" w:type="dxa"/>
              <w:bottom w:w="90" w:type="dxa"/>
              <w:right w:w="110" w:type="dxa"/>
            </w:tcMar>
          </w:tcPr>
          <w:p w14:paraId="0D66813D" w14:textId="77777777" w:rsidR="006A7F6D" w:rsidRDefault="00000000">
            <w:pPr>
              <w:pStyle w:val="TableBody"/>
            </w:pPr>
            <w:r>
              <w:t>30. Spagna (ES)</w:t>
            </w:r>
          </w:p>
        </w:tc>
        <w:tc>
          <w:tcPr>
            <w:tcW w:w="7483" w:type="dxa"/>
            <w:tcMar>
              <w:top w:w="90" w:type="dxa"/>
              <w:left w:w="110" w:type="dxa"/>
              <w:bottom w:w="90" w:type="dxa"/>
              <w:right w:w="110" w:type="dxa"/>
            </w:tcMar>
          </w:tcPr>
          <w:p w14:paraId="3078B310" w14:textId="77777777" w:rsidR="006A7F6D" w:rsidRDefault="00000000">
            <w:pPr>
              <w:pStyle w:val="Small"/>
            </w:pPr>
            <w:r>
              <w:rPr>
                <w:sz w:val="16"/>
              </w:rPr>
              <w:t xml:space="preserve">(ES) </w:t>
            </w:r>
            <w:hyperlink r:id="rId39">
              <w:r>
                <w:rPr>
                  <w:color w:val="126F78"/>
                  <w:sz w:val="16"/>
                </w:rPr>
                <w:t>https:/​/​www.​aepd.​es/​guias/​gestion-​riesgo-​y-​evaluacion-​impacto-​en-​tratamientos-​datos-​personales.​pdf</w:t>
              </w:r>
            </w:hyperlink>
          </w:p>
          <w:p w14:paraId="217A459B" w14:textId="77777777" w:rsidR="006A7F6D" w:rsidRDefault="00000000">
            <w:pPr>
              <w:pStyle w:val="Small"/>
            </w:pPr>
            <w:r>
              <w:rPr>
                <w:sz w:val="16"/>
              </w:rPr>
              <w:t xml:space="preserve">(EN) </w:t>
            </w:r>
            <w:hyperlink r:id="rId40">
              <w:r>
                <w:rPr>
                  <w:color w:val="126F78"/>
                  <w:sz w:val="16"/>
                </w:rPr>
                <w:t>https:/​/​www.​aepd.​es/​guides/​risk-​management-​and-​impact-​assessment-​in-​processing-​personal-​data.​pdf</w:t>
              </w:r>
            </w:hyperlink>
          </w:p>
        </w:tc>
      </w:tr>
      <w:tr w:rsidR="006A7F6D" w14:paraId="1B2C46BF" w14:textId="77777777">
        <w:trPr>
          <w:cantSplit/>
          <w:jc w:val="center"/>
        </w:trPr>
        <w:tc>
          <w:tcPr>
            <w:tcW w:w="2381" w:type="dxa"/>
            <w:shd w:val="clear" w:color="auto" w:fill="F1F5F8"/>
            <w:tcMar>
              <w:top w:w="90" w:type="dxa"/>
              <w:left w:w="110" w:type="dxa"/>
              <w:bottom w:w="90" w:type="dxa"/>
              <w:right w:w="110" w:type="dxa"/>
            </w:tcMar>
          </w:tcPr>
          <w:p w14:paraId="56BE8686" w14:textId="77777777" w:rsidR="006A7F6D" w:rsidRDefault="00000000">
            <w:pPr>
              <w:pStyle w:val="TableBody"/>
            </w:pPr>
            <w:r>
              <w:t>31. Svezia (SE)</w:t>
            </w:r>
          </w:p>
        </w:tc>
        <w:tc>
          <w:tcPr>
            <w:tcW w:w="7483" w:type="dxa"/>
            <w:tcMar>
              <w:top w:w="90" w:type="dxa"/>
              <w:left w:w="110" w:type="dxa"/>
              <w:bottom w:w="90" w:type="dxa"/>
              <w:right w:w="110" w:type="dxa"/>
            </w:tcMar>
          </w:tcPr>
          <w:p w14:paraId="663BB219" w14:textId="77777777" w:rsidR="006A7F6D" w:rsidRDefault="006A7F6D"/>
        </w:tc>
      </w:tr>
    </w:tbl>
    <w:p w14:paraId="0CA2C2D0" w14:textId="77777777" w:rsidR="006A7F6D" w:rsidRDefault="006A7F6D">
      <w:pPr>
        <w:pStyle w:val="Small"/>
        <w:spacing w:after="0"/>
      </w:pPr>
    </w:p>
    <w:sectPr w:rsidR="006A7F6D" w:rsidSect="00034616">
      <w:headerReference w:type="default" r:id="rId41"/>
      <w:footerReference w:type="default" r:id="rId42"/>
      <w:pgSz w:w="11906" w:h="16838"/>
      <w:pgMar w:top="1077" w:right="1020" w:bottom="1020" w:left="1020"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66910" w14:textId="77777777" w:rsidR="00F93FF0" w:rsidRDefault="00F93FF0">
      <w:pPr>
        <w:spacing w:after="0" w:line="240" w:lineRule="auto"/>
      </w:pPr>
      <w:r>
        <w:separator/>
      </w:r>
    </w:p>
  </w:endnote>
  <w:endnote w:type="continuationSeparator" w:id="0">
    <w:p w14:paraId="3767DEA2" w14:textId="77777777" w:rsidR="00F93FF0" w:rsidRDefault="00F93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7A1F" w14:textId="77777777" w:rsidR="006A7F6D" w:rsidRDefault="00000000">
    <w:pPr>
      <w:pStyle w:val="Small"/>
      <w:tabs>
        <w:tab w:val="right" w:pos="9865"/>
      </w:tabs>
    </w:pPr>
    <w:r>
      <w:rPr>
        <w:sz w:val="15"/>
      </w:rPr>
      <w:t>Traduzione italiana non ufficiale  •  Versione originale 1.0</w:t>
    </w:r>
    <w:r>
      <w:rPr>
        <w:sz w:val="15"/>
      </w:rPr>
      <w:tab/>
    </w:r>
    <w:r>
      <w:rPr>
        <w:sz w:val="15"/>
      </w:rPr>
      <w:fldChar w:fldCharType="begin"/>
    </w:r>
    <w:r>
      <w:instrText>PAGE</w:instrText>
    </w:r>
    <w:r w:rsidR="00FD57A3">
      <w:rPr>
        <w:sz w:val="15"/>
      </w:rPr>
      <w:fldChar w:fldCharType="separate"/>
    </w:r>
    <w:r w:rsidR="00FD57A3">
      <w:rPr>
        <w:noProof/>
      </w:rPr>
      <w:t>2</w:t>
    </w:r>
    <w:r>
      <w:fldChar w:fldCharType="end"/>
    </w:r>
    <w:r>
      <w:rPr>
        <w:sz w:val="15"/>
      </w:rPr>
      <w:t xml:space="preserve"> / </w:t>
    </w:r>
    <w:r>
      <w:rPr>
        <w:sz w:val="15"/>
      </w:rPr>
      <w:fldChar w:fldCharType="begin"/>
    </w:r>
    <w:r>
      <w:instrText>NUMPAGES</w:instrText>
    </w:r>
    <w:r w:rsidR="00FD57A3">
      <w:rPr>
        <w:sz w:val="15"/>
      </w:rPr>
      <w:fldChar w:fldCharType="separate"/>
    </w:r>
    <w:r w:rsidR="00FD57A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ADC07" w14:textId="77777777" w:rsidR="00F93FF0" w:rsidRDefault="00F93FF0">
      <w:pPr>
        <w:spacing w:after="0" w:line="240" w:lineRule="auto"/>
      </w:pPr>
      <w:r>
        <w:separator/>
      </w:r>
    </w:p>
  </w:footnote>
  <w:footnote w:type="continuationSeparator" w:id="0">
    <w:p w14:paraId="00A9731C" w14:textId="77777777" w:rsidR="00F93FF0" w:rsidRDefault="00F93FF0">
      <w:pPr>
        <w:spacing w:after="0" w:line="240" w:lineRule="auto"/>
      </w:pPr>
      <w:r>
        <w:continuationSeparator/>
      </w:r>
    </w:p>
  </w:footnote>
  <w:footnote w:id="1">
    <w:p w14:paraId="16FC2C40" w14:textId="77777777" w:rsidR="006A7F6D" w:rsidRDefault="00000000">
      <w:pPr>
        <w:pStyle w:val="Testonotaapidipagina1"/>
      </w:pPr>
      <w:r>
        <w:rPr>
          <w:vertAlign w:val="superscript"/>
        </w:rPr>
        <w:footnoteRef/>
      </w:r>
      <w:r>
        <w:t xml:space="preserve"> Linee guida EDPB 07/2020 sui concetti di titolare del trattamento e di responsabile del trattamento ai sensi del GDPR: </w:t>
      </w:r>
      <w:hyperlink r:id="rId1">
        <w:r>
          <w:rPr>
            <w:color w:val="126F78"/>
          </w:rPr>
          <w:t>https:/​/​www.​edpb.​europa.​eu/​system/​files_​en?​file=​2023-​10/​EDPB_​guidelines_​202007_​controllerprocessor_​final_​en.​pdf</w:t>
        </w:r>
      </w:hyperlink>
    </w:p>
  </w:footnote>
  <w:footnote w:id="2">
    <w:p w14:paraId="633A5290" w14:textId="77777777" w:rsidR="006A7F6D" w:rsidRDefault="00000000">
      <w:pPr>
        <w:pStyle w:val="Testonotaapidipagina1"/>
      </w:pPr>
      <w:r>
        <w:rPr>
          <w:vertAlign w:val="superscript"/>
        </w:rPr>
        <w:footnoteRef/>
      </w:r>
      <w:r>
        <w:t xml:space="preserve"> Linee guida sulla valutazione d’impatto sulla protezione dei dati (DPIA) (wp248rev.01): </w:t>
      </w:r>
      <w:hyperlink r:id="rId2">
        <w:r>
          <w:rPr>
            <w:color w:val="126F78"/>
          </w:rPr>
          <w:t>https:/​/​ec.​europa.​eu/​newsroom/​just/​document.​cfm?​doc_​id=​47711</w:t>
        </w:r>
      </w:hyperlink>
    </w:p>
  </w:footnote>
  <w:footnote w:id="3">
    <w:p w14:paraId="4F7E4ACF" w14:textId="77777777" w:rsidR="006A7F6D" w:rsidRDefault="00000000">
      <w:pPr>
        <w:pStyle w:val="Testonotaapidipagina1"/>
      </w:pPr>
      <w:r>
        <w:rPr>
          <w:vertAlign w:val="superscript"/>
        </w:rPr>
        <w:footnoteRef/>
      </w:r>
      <w:r>
        <w:t xml:space="preserve"> Linee guida sulla valutazione d’impatto sulla protezione dei dati (DPIA) (wp248rev.01): </w:t>
      </w:r>
      <w:hyperlink r:id="rId3">
        <w:r>
          <w:rPr>
            <w:color w:val="126F78"/>
          </w:rPr>
          <w:t>https:/​/​ec.​europa.​eu/​newsroom/​just/​document.​cfm?​doc_​id=​47711</w:t>
        </w:r>
      </w:hyperlink>
    </w:p>
  </w:footnote>
  <w:footnote w:id="4">
    <w:p w14:paraId="3B08C1A3" w14:textId="77777777" w:rsidR="006A7F6D" w:rsidRDefault="00000000">
      <w:pPr>
        <w:pStyle w:val="Testonotaapidipagina1"/>
      </w:pPr>
      <w:r>
        <w:rPr>
          <w:vertAlign w:val="superscript"/>
        </w:rPr>
        <w:footnoteRef/>
      </w:r>
      <w:r>
        <w:t xml:space="preserve"> Linee guida EDPB 1/2024 sul trattamento dei dati personali basato sull’articolo 6, paragrafo 1, lettera f), GDPR: </w:t>
      </w:r>
      <w:hyperlink r:id="rId4">
        <w:r>
          <w:rPr>
            <w:color w:val="126F78"/>
          </w:rPr>
          <w:t>https:/​/​www.​edpb.​europa.​eu/​system/​files/​2024-​10/​edpb_​guidelines_​202401_​legitimateinterest_​en.​pdf</w:t>
        </w:r>
      </w:hyperlink>
    </w:p>
  </w:footnote>
  <w:footnote w:id="5">
    <w:p w14:paraId="59F96D45" w14:textId="77777777" w:rsidR="006A7F6D" w:rsidRDefault="00000000">
      <w:pPr>
        <w:pStyle w:val="Testonotaapidipagina1"/>
      </w:pPr>
      <w:r>
        <w:rPr>
          <w:vertAlign w:val="superscript"/>
        </w:rPr>
        <w:footnoteRef/>
      </w:r>
      <w:r>
        <w:t xml:space="preserve"> Linee guida EDPB 4/2019 sull’articolo 25 — Protezione dei dati fin dalla progettazione e per impostazione predefinita: </w:t>
      </w:r>
      <w:hyperlink r:id="rId5">
        <w:r>
          <w:rPr>
            <w:color w:val="126F78"/>
          </w:rPr>
          <w:t>https:/​/​www.​edpb.​europa.​eu/​sites/​default/​files/​files/​file1/​edpb_​guidelines_​201904_​dataprotection_​by_​design_​and_​by_​default_​v2.​0_​en.​pdf</w:t>
        </w:r>
      </w:hyperlink>
    </w:p>
  </w:footnote>
  <w:footnote w:id="6">
    <w:p w14:paraId="50E1CEDA" w14:textId="77777777" w:rsidR="006A7F6D" w:rsidRDefault="00000000">
      <w:pPr>
        <w:pStyle w:val="Testonotaapidipagina1"/>
      </w:pPr>
      <w:r>
        <w:rPr>
          <w:vertAlign w:val="superscript"/>
        </w:rPr>
        <w:footnoteRef/>
      </w:r>
      <w:r>
        <w:t xml:space="preserve"> EDPS, «Valutare la necessità delle misure che limitano il diritto fondamentale alla protezione dei dati personali: uno strumento operativo»: </w:t>
      </w:r>
      <w:hyperlink r:id="rId6">
        <w:r>
          <w:rPr>
            <w:color w:val="126F78"/>
          </w:rPr>
          <w:t>https:/​/​www.​edps.​europa.​eu/​sites/​default/​files/​publication/​17-​04-​11_​necessity_​toolkit_​en_​0.​pdf</w:t>
        </w:r>
      </w:hyperlink>
      <w:r>
        <w:t xml:space="preserve">; si veda anche il parere 11/2024 sull’uso del riconoscimento facciale per rendere più fluido il flusso dei passeggeri negli aeroporti (compatibilità con gli articoli 5, paragrafo 1, lettere e) e f), 25 e 32 GDPR): </w:t>
      </w:r>
      <w:hyperlink r:id="rId7">
        <w:r>
          <w:rPr>
            <w:color w:val="126F78"/>
          </w:rPr>
          <w:t>https:/​/​www.​edpb.​europa.​eu/​our-​work-​tools/​our-​documents/​opinion-​board-​art-​64/​opinion-​112024-​use-​facial-​recognition-​streamline_​en</w:t>
        </w:r>
      </w:hyperlink>
    </w:p>
  </w:footnote>
  <w:footnote w:id="7">
    <w:p w14:paraId="01C9526C" w14:textId="77777777" w:rsidR="006A7F6D" w:rsidRDefault="00000000">
      <w:pPr>
        <w:pStyle w:val="Testonotaapidipagina1"/>
      </w:pPr>
      <w:r>
        <w:rPr>
          <w:vertAlign w:val="superscript"/>
        </w:rPr>
        <w:footnoteRef/>
      </w:r>
      <w:r>
        <w:t xml:space="preserve"> EDPS, «Linee guida per valutare la proporzionalità delle misure che limitano i diritti fondamentali alla vita privata e alla protezione»: </w:t>
      </w:r>
      <w:hyperlink r:id="rId8">
        <w:r>
          <w:rPr>
            <w:color w:val="126F78"/>
          </w:rPr>
          <w:t>https:/​/​www.​edps.​europa.​eu/​sites/​default/​files/​publication/​19-​02-​25_​proportionality_​guidelines_​en.​pdf</w:t>
        </w:r>
      </w:hyperlink>
      <w:r>
        <w:t xml:space="preserve">; si veda anche il parere 11/2024 sull’uso del riconoscimento facciale per rendere più fluido il flusso dei passeggeri negli aeroporti (compatibilità con gli articoli 5, paragrafo 1, lettere e) e f), 25 e 32 GDPR): </w:t>
      </w:r>
      <w:hyperlink r:id="rId9">
        <w:r>
          <w:rPr>
            <w:color w:val="126F78"/>
          </w:rPr>
          <w:t>https:/​/​www.​edpb.​europa.​eu/​our-​work-​tools/​our-​documents/​opinion-​board-​art-​64/​opinion-​112024-​use-​facial-​recognition-​streamline_​en</w:t>
        </w:r>
      </w:hyperlink>
    </w:p>
  </w:footnote>
  <w:footnote w:id="8">
    <w:p w14:paraId="236BA8D1" w14:textId="77777777" w:rsidR="006A7F6D" w:rsidRDefault="00000000">
      <w:pPr>
        <w:pStyle w:val="Testonotaapidipagina1"/>
      </w:pPr>
      <w:r>
        <w:rPr>
          <w:vertAlign w:val="superscript"/>
        </w:rPr>
        <w:footnoteRef/>
      </w:r>
      <w:r>
        <w:t xml:space="preserve"> Ad esempio, i documenti elencati nell’allegato.</w:t>
      </w:r>
    </w:p>
  </w:footnote>
  <w:footnote w:id="9">
    <w:p w14:paraId="74381A83" w14:textId="77777777" w:rsidR="006A7F6D" w:rsidRDefault="00000000">
      <w:pPr>
        <w:pStyle w:val="Testonotaapidipagina1"/>
      </w:pPr>
      <w:r>
        <w:rPr>
          <w:vertAlign w:val="superscript"/>
        </w:rPr>
        <w:footnoteRef/>
      </w:r>
      <w:r>
        <w:t xml:space="preserve"> Un rischio relativo alla protezione dei dati può essere ritenuto non accettabile se la potenziale gravità del suo impatto è molto elevata, anche quando la probabilità che si verifichi è bassa. Ciò significa che, se le conseguenze per gli interessati possono essere estremamente gravi, il rischio può essere considerato inaccettabile, indipendentemente dalla rarità con cui si prevede che l’evento si verifichi.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20A92" w14:textId="77777777" w:rsidR="006A7F6D" w:rsidRDefault="00000000">
    <w:pPr>
      <w:pStyle w:val="Small"/>
      <w:pBdr>
        <w:bottom w:val="single" w:sz="6" w:space="6" w:color="126F78"/>
      </w:pBdr>
      <w:tabs>
        <w:tab w:val="right" w:pos="9865"/>
      </w:tabs>
    </w:pPr>
    <w:r>
      <w:rPr>
        <w:sz w:val="16"/>
      </w:rPr>
      <w:t>EDPB  /  DPIA [2026]</w:t>
    </w:r>
    <w:r>
      <w:rPr>
        <w:sz w:val="16"/>
      </w:rPr>
      <w:tab/>
      <w:t>GUIDA ESPLICATIVA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097508163">
    <w:abstractNumId w:val="8"/>
  </w:num>
  <w:num w:numId="2" w16cid:durableId="1225802243">
    <w:abstractNumId w:val="6"/>
  </w:num>
  <w:num w:numId="3" w16cid:durableId="432557875">
    <w:abstractNumId w:val="5"/>
  </w:num>
  <w:num w:numId="4" w16cid:durableId="1421684089">
    <w:abstractNumId w:val="4"/>
  </w:num>
  <w:num w:numId="5" w16cid:durableId="1548444847">
    <w:abstractNumId w:val="7"/>
  </w:num>
  <w:num w:numId="6" w16cid:durableId="1527057015">
    <w:abstractNumId w:val="3"/>
  </w:num>
  <w:num w:numId="7" w16cid:durableId="460541024">
    <w:abstractNumId w:val="2"/>
  </w:num>
  <w:num w:numId="8" w16cid:durableId="324820706">
    <w:abstractNumId w:val="1"/>
  </w:num>
  <w:num w:numId="9" w16cid:durableId="1010448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0798"/>
    <w:rsid w:val="0015074B"/>
    <w:rsid w:val="0029639D"/>
    <w:rsid w:val="00326F90"/>
    <w:rsid w:val="006A7F6D"/>
    <w:rsid w:val="00AA1D8D"/>
    <w:rsid w:val="00B47730"/>
    <w:rsid w:val="00CB0664"/>
    <w:rsid w:val="00F93FF0"/>
    <w:rsid w:val="00FC693F"/>
    <w:rsid w:val="00FD57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53189D"/>
  <w14:defaultImageDpi w14:val="300"/>
  <w15:docId w15:val="{948C4B22-4670-4375-994D-2F20097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69" w:lineRule="auto"/>
    </w:pPr>
    <w:rPr>
      <w:rFonts w:ascii="Calibri" w:hAnsi="Calibri"/>
      <w:color w:val="1E2935"/>
      <w:sz w:val="21"/>
    </w:rPr>
  </w:style>
  <w:style w:type="paragraph" w:styleId="Titolo1">
    <w:name w:val="heading 1"/>
    <w:basedOn w:val="Normale"/>
    <w:next w:val="Normale"/>
    <w:link w:val="Titolo1Carattere"/>
    <w:uiPriority w:val="9"/>
    <w:qFormat/>
    <w:rsid w:val="00FC693F"/>
    <w:pPr>
      <w:keepNext/>
      <w:keepLines/>
      <w:spacing w:before="260"/>
      <w:outlineLvl w:val="0"/>
    </w:pPr>
    <w:rPr>
      <w:rFonts w:asciiTheme="majorHAnsi" w:eastAsiaTheme="majorEastAsia" w:hAnsiTheme="majorHAnsi" w:cstheme="majorBidi"/>
      <w:b/>
      <w:bCs/>
      <w:color w:val="17324D"/>
      <w:sz w:val="38"/>
      <w:szCs w:val="28"/>
    </w:rPr>
  </w:style>
  <w:style w:type="paragraph" w:styleId="Titolo2">
    <w:name w:val="heading 2"/>
    <w:basedOn w:val="Normale"/>
    <w:next w:val="Normale"/>
    <w:link w:val="Titolo2Carattere"/>
    <w:uiPriority w:val="9"/>
    <w:unhideWhenUsed/>
    <w:qFormat/>
    <w:rsid w:val="00FC693F"/>
    <w:pPr>
      <w:keepNext/>
      <w:keepLines/>
      <w:spacing w:before="180"/>
      <w:outlineLvl w:val="1"/>
    </w:pPr>
    <w:rPr>
      <w:rFonts w:asciiTheme="majorHAnsi" w:eastAsiaTheme="majorEastAsia" w:hAnsiTheme="majorHAnsi" w:cstheme="majorBidi"/>
      <w:b/>
      <w:bCs/>
      <w:color w:val="126F78"/>
      <w:sz w:val="26"/>
      <w:szCs w:val="26"/>
    </w:rPr>
  </w:style>
  <w:style w:type="paragraph" w:styleId="Titolo3">
    <w:name w:val="heading 3"/>
    <w:basedOn w:val="Normale"/>
    <w:next w:val="Normale"/>
    <w:link w:val="Titolo3Carattere"/>
    <w:uiPriority w:val="9"/>
    <w:unhideWhenUsed/>
    <w:qFormat/>
    <w:rsid w:val="00FC693F"/>
    <w:pPr>
      <w:keepNext/>
      <w:keepLines/>
      <w:spacing w:before="180"/>
      <w:outlineLvl w:val="2"/>
    </w:pPr>
    <w:rPr>
      <w:rFonts w:asciiTheme="majorHAnsi" w:eastAsiaTheme="majorEastAsia" w:hAnsiTheme="majorHAnsi" w:cstheme="majorBidi"/>
      <w:b/>
      <w:bCs/>
      <w:sz w:val="22"/>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before="180" w:line="240" w:lineRule="auto"/>
      <w:contextualSpacing/>
    </w:pPr>
    <w:rPr>
      <w:rFonts w:asciiTheme="majorHAnsi" w:eastAsiaTheme="majorEastAsia" w:hAnsiTheme="majorHAnsi" w:cstheme="majorBidi"/>
      <w:b/>
      <w:color w:val="17324D"/>
      <w:spacing w:val="5"/>
      <w:kern w:val="28"/>
      <w:sz w:val="68"/>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numPr>
        <w:ilvl w:val="1"/>
      </w:numPr>
      <w:spacing w:before="180"/>
    </w:pPr>
    <w:rPr>
      <w:rFonts w:asciiTheme="majorHAnsi" w:eastAsiaTheme="majorEastAsia" w:hAnsiTheme="majorHAnsi" w:cstheme="majorBidi"/>
      <w:b/>
      <w:i/>
      <w:iCs/>
      <w:color w:val="126F78"/>
      <w:spacing w:val="15"/>
      <w:sz w:val="3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line="250" w:lineRule="auto"/>
    </w:pPr>
    <w:rPr>
      <w:rFonts w:ascii="Calibri" w:hAnsi="Calibri"/>
      <w:color w:val="526373"/>
      <w:sz w:val="17"/>
    </w:rPr>
  </w:style>
  <w:style w:type="paragraph" w:customStyle="1" w:styleId="TableBody">
    <w:name w:val="Table Body"/>
    <w:pPr>
      <w:spacing w:after="80" w:line="250" w:lineRule="auto"/>
    </w:pPr>
    <w:rPr>
      <w:rFonts w:ascii="Calibri" w:hAnsi="Calibri"/>
      <w:color w:val="1E2935"/>
      <w:sz w:val="18"/>
    </w:rPr>
  </w:style>
  <w:style w:type="paragraph" w:customStyle="1" w:styleId="TableHeader">
    <w:name w:val="Table Header"/>
    <w:pPr>
      <w:spacing w:after="80" w:line="250" w:lineRule="auto"/>
    </w:pPr>
    <w:rPr>
      <w:rFonts w:ascii="Calibri" w:hAnsi="Calibri"/>
      <w:b/>
      <w:color w:val="FFFFFF"/>
      <w:sz w:val="18"/>
    </w:rPr>
  </w:style>
  <w:style w:type="paragraph" w:customStyle="1" w:styleId="Testonotaapidipagina1">
    <w:name w:val="Testo nota a piè di pagina1"/>
    <w:pPr>
      <w:spacing w:after="40" w:line="240" w:lineRule="auto"/>
    </w:pPr>
    <w:rPr>
      <w:rFonts w:ascii="Calibri" w:hAnsi="Calibri"/>
      <w:color w:val="526373"/>
      <w:sz w:val="16"/>
    </w:rPr>
  </w:style>
  <w:style w:type="paragraph" w:customStyle="1" w:styleId="TOCLine">
    <w:name w:val="TOC Line"/>
    <w:pPr>
      <w:spacing w:after="80" w:line="250" w:lineRule="auto"/>
    </w:pPr>
    <w:rPr>
      <w:rFonts w:ascii="Calibri" w:hAnsi="Calibri"/>
      <w:color w:val="1E2935"/>
      <w:sz w:val="19"/>
    </w:rPr>
  </w:style>
  <w:style w:type="paragraph" w:customStyle="1" w:styleId="Kicker">
    <w:name w:val="Kicker"/>
    <w:pPr>
      <w:spacing w:after="80" w:line="250" w:lineRule="auto"/>
    </w:pPr>
    <w:rPr>
      <w:rFonts w:ascii="Calibri" w:hAnsi="Calibri"/>
      <w:color w:val="126F7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zop.hr/procjena-ucinka-na-zastitu-podataka-eng-data-protection-impact-assessment-dpia/" TargetMode="External"/><Relationship Id="rId18" Type="http://schemas.openxmlformats.org/officeDocument/2006/relationships/hyperlink" Target="https://tietosuoja.fi/vaikutustenarviointi" TargetMode="External"/><Relationship Id="rId26" Type="http://schemas.openxmlformats.org/officeDocument/2006/relationships/hyperlink" Target="https://www.dpa.gr/en/by-design/risk-assessment-dpia" TargetMode="External"/><Relationship Id="rId39" Type="http://schemas.openxmlformats.org/officeDocument/2006/relationships/hyperlink" Target="https://www.aepd.es/guias/gestion-riesgo-y-evaluacion-impacto-en-tratamientos-datos-personales.pdf" TargetMode="External"/><Relationship Id="rId21" Type="http://schemas.openxmlformats.org/officeDocument/2006/relationships/hyperlink" Target="https://www.cnil.fr/en/privacy-impact-assessment-pia" TargetMode="External"/><Relationship Id="rId34" Type="http://schemas.openxmlformats.org/officeDocument/2006/relationships/hyperlink" Target="https://uodo.gov.pl/en/553/1882"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datatilsynet.dk/regler-og-vejledning/behandlingssikkerhed/konsekvensanalyse" TargetMode="External"/><Relationship Id="rId20" Type="http://schemas.openxmlformats.org/officeDocument/2006/relationships/hyperlink" Target="https://www.cnil.fr/fr/guides-aipd" TargetMode="External"/><Relationship Id="rId29" Type="http://schemas.openxmlformats.org/officeDocument/2006/relationships/hyperlink" Target="https://www.dvi.gov.lv/lv/novertejums-par-ietekmi-uz-datu-aizsardzibu-nida"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pdp.bg/%d1%81%d0%bf%d0%b8%d1%81%d1%8a%d0%ba-%d0%bd%d0%b0-%d0%b2%d0%b8%d0%b4%d0%be%d0%b2%d0%b5%d1%82%d0%b5-%d0%be%d0%bf%d0%b5%d1%80%d0%b0%d1%86%d0%b8%d0%b8-%d0%bf%d0%be-%d0%be%d0%b1%d1%80%d0%b0%d0%b1%d0%be/" TargetMode="External"/><Relationship Id="rId24" Type="http://schemas.openxmlformats.org/officeDocument/2006/relationships/hyperlink" Target="https://www.dpa.gr/foreis/ektimisi_adiktipou_kai_diavouleush/ektimisi_adiktipou" TargetMode="External"/><Relationship Id="rId32" Type="http://schemas.openxmlformats.org/officeDocument/2006/relationships/hyperlink" Target="https://autoriteitpersoonsgegevens.nl/en/themes/basic-gdpr/gdpr-in-practice/data-protection-impact-assessment-dpia" TargetMode="External"/><Relationship Id="rId37" Type="http://schemas.openxmlformats.org/officeDocument/2006/relationships/hyperlink" Target="https://uodo.gov.pl/pl/138/605" TargetMode="External"/><Relationship Id="rId40" Type="http://schemas.openxmlformats.org/officeDocument/2006/relationships/hyperlink" Target="https://www.aepd.es/guides/risk-management-and-impact-assessment-in-processing-personal-data.pdf" TargetMode="External"/><Relationship Id="rId5" Type="http://schemas.openxmlformats.org/officeDocument/2006/relationships/webSettings" Target="webSettings.xml"/><Relationship Id="rId15" Type="http://schemas.openxmlformats.org/officeDocument/2006/relationships/hyperlink" Target="https://uoou.gov.cz/media/profesional/metodika-obecneho-posouzeni-vlivu-na-ochranu-osobnich-udaju.pdf" TargetMode="External"/><Relationship Id="rId23" Type="http://schemas.openxmlformats.org/officeDocument/2006/relationships/hyperlink" Target="https://www.dpa.gr/el/foreis/ektimisi_adiktipou_kai_diavouleush" TargetMode="External"/><Relationship Id="rId28" Type="http://schemas.openxmlformats.org/officeDocument/2006/relationships/hyperlink" Target="https://www.dataprotection.ie/en/dpc-guidance/guide-data-protection-impact-assessments" TargetMode="External"/><Relationship Id="rId36" Type="http://schemas.openxmlformats.org/officeDocument/2006/relationships/hyperlink" Target="https://uodo.gov.pl/500" TargetMode="External"/><Relationship Id="rId10" Type="http://schemas.openxmlformats.org/officeDocument/2006/relationships/hyperlink" Target="https://dsb.gv.at/faqs/verpflichtungen-fuer-unternehmen" TargetMode="External"/><Relationship Id="rId19" Type="http://schemas.openxmlformats.org/officeDocument/2006/relationships/hyperlink" Target="https://tietosuoja.fi/en/impact-assessments" TargetMode="External"/><Relationship Id="rId31" Type="http://schemas.openxmlformats.org/officeDocument/2006/relationships/hyperlink" Target="https://autoriteitpersoonsgegevens.nl/themas/basis-avg/praktisch-avg/data-protection-impact-assessment-dpia"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dpb.europa.eu/sme-data-protection-guide/home_en" TargetMode="External"/><Relationship Id="rId14" Type="http://schemas.openxmlformats.org/officeDocument/2006/relationships/hyperlink" Target="https://olivia-gdpr-arc.eu/hr/topic/show/9" TargetMode="External"/><Relationship Id="rId22" Type="http://schemas.openxmlformats.org/officeDocument/2006/relationships/hyperlink" Target="https://www.datenschutz-mv.de/datenschutz/datenschutzmodell/" TargetMode="External"/><Relationship Id="rId27" Type="http://schemas.openxmlformats.org/officeDocument/2006/relationships/hyperlink" Target="https://www.dpa.gr/en/by-design/ict-organizational-gdpr-roles-dpia" TargetMode="External"/><Relationship Id="rId30" Type="http://schemas.openxmlformats.org/officeDocument/2006/relationships/hyperlink" Target="https://idpc.org.mt/for-organisations/data-protection-impact-assessment/" TargetMode="External"/><Relationship Id="rId35" Type="http://schemas.openxmlformats.org/officeDocument/2006/relationships/hyperlink" Target="https://monitorpolski.gov.pl/MP/2019/666"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cpdp.bg/%D1%81%D0%BF%D0%B8%D1%81%D1%8A%D0%BA-%D0%BD%D0%B0-%D0%BE%D0%BF%D0%B5%D1%80%D0%B0%D1%86%D0%B8%D0%B8%D1%82%D0%B5-%D0%BF%D0%BE-%D0%BE%D0%B1%D1%80%D0%B0%D0%B1%D0%BE%D1%82%D0%B2%D0%B0%D0%BD%D0%B5-%D0%BD/" TargetMode="External"/><Relationship Id="rId17" Type="http://schemas.openxmlformats.org/officeDocument/2006/relationships/hyperlink" Target="https://www.aki.ee/uudised/mis-asi-mojuhinnang" TargetMode="External"/><Relationship Id="rId25" Type="http://schemas.openxmlformats.org/officeDocument/2006/relationships/hyperlink" Target="https://www.dpa.gr/en/Organisations/Impact_Assessment" TargetMode="External"/><Relationship Id="rId33" Type="http://schemas.openxmlformats.org/officeDocument/2006/relationships/hyperlink" Target="https://uodo.gov.pl/pl/598/3617" TargetMode="External"/><Relationship Id="rId38" Type="http://schemas.openxmlformats.org/officeDocument/2006/relationships/hyperlink" Target="https://www.ip-rs.si/fileadmin/user_upload/Pdf/Ocene_ucinkov/Smernice_o_ocenah_ucinka__DPIA__julij2018.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dps.europa.eu/sites/default/files/publication/19-02-25_proportionality_guidelines_en.pdf" TargetMode="External"/><Relationship Id="rId3" Type="http://schemas.openxmlformats.org/officeDocument/2006/relationships/hyperlink" Target="https://ec.europa.eu/newsroom/just/document.cfm?doc_id=47711" TargetMode="External"/><Relationship Id="rId7" Type="http://schemas.openxmlformats.org/officeDocument/2006/relationships/hyperlink" Target="https://www.edpb.europa.eu/our-work-tools/our-documents/opinion-board-art-64/opinion-112024-use-facial-recognition-streamline_en" TargetMode="External"/><Relationship Id="rId2" Type="http://schemas.openxmlformats.org/officeDocument/2006/relationships/hyperlink" Target="https://ec.europa.eu/newsroom/just/document.cfm?doc_id=47711" TargetMode="External"/><Relationship Id="rId1" Type="http://schemas.openxmlformats.org/officeDocument/2006/relationships/hyperlink" Target="https://www.edpb.europa.eu/system/files_en?file=2023-10/EDPB_guidelines_202007_controllerprocessor_final_en.pdf" TargetMode="External"/><Relationship Id="rId6" Type="http://schemas.openxmlformats.org/officeDocument/2006/relationships/hyperlink" Target="https://www.edps.europa.eu/sites/default/files/publication/17-04-11_necessity_toolkit_en_0.pdf" TargetMode="External"/><Relationship Id="rId5" Type="http://schemas.openxmlformats.org/officeDocument/2006/relationships/hyperlink" Target="https://www.edpb.europa.eu/sites/default/files/files/file1/edpb_guidelines_201904_dataprotection_by_design_and_by_default_v2.0_en.pdf" TargetMode="External"/><Relationship Id="rId4" Type="http://schemas.openxmlformats.org/officeDocument/2006/relationships/hyperlink" Target="https://www.edpb.europa.eu/system/files/2024-10/edpb_guidelines_202401_legitimateinterest_en.pdf" TargetMode="External"/><Relationship Id="rId9" Type="http://schemas.openxmlformats.org/officeDocument/2006/relationships/hyperlink" Target="https://www.edpb.europa.eu/our-work-tools/our-documents/opinion-board-art-64/opinion-112024-use-facial-recognition-streamlin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5582</Words>
  <Characters>36512</Characters>
  <Application>Microsoft Office Word</Application>
  <DocSecurity>0</DocSecurity>
  <Lines>598</Lines>
  <Paragraphs>350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[2026] — Guida esplicativa — Traduzione italiana non ufficiale</dc:title>
  <dc:subject>Traduzione integrale dei documenti EDPB, versione 1.0 del 10 marzo 2026</dc:subject>
  <dc:creator/>
  <cp:keywords>DPIA, EDPB, GDPR, italiano, traduzione non ufficiale</cp:keywords>
  <dc:description>Impaginazione editoriale autonoma; traduzione non ufficiale del documento fornito.</dc:description>
  <cp:lastModifiedBy>PAOLO BENNI</cp:lastModifiedBy>
  <cp:revision>2</cp:revision>
  <dcterms:created xsi:type="dcterms:W3CDTF">2013-12-23T23:15:00Z</dcterms:created>
  <dcterms:modified xsi:type="dcterms:W3CDTF">2026-09-09T07:18:00Z</dcterms:modified>
  <cp:category/>
</cp:coreProperties>
</file>