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EF0A4" w14:textId="77777777" w:rsidR="00272C44" w:rsidRPr="00272C44" w:rsidRDefault="00272C44" w:rsidP="00272C44">
      <w:pPr>
        <w:shd w:val="clear" w:color="auto" w:fill="FFFFFF"/>
        <w:spacing w:before="240" w:after="120" w:line="240" w:lineRule="auto"/>
        <w:jc w:val="center"/>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DIRETTIVA (UE) 2020/367 DELLA COMMISSIONE</w:t>
      </w:r>
    </w:p>
    <w:p w14:paraId="21429FD1" w14:textId="77777777" w:rsidR="00272C44" w:rsidRPr="00272C44" w:rsidRDefault="00272C44" w:rsidP="00272C44">
      <w:pPr>
        <w:shd w:val="clear" w:color="auto" w:fill="FFFFFF"/>
        <w:spacing w:before="240" w:after="120" w:line="240" w:lineRule="auto"/>
        <w:jc w:val="center"/>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del 4 marzo 2020</w:t>
      </w:r>
    </w:p>
    <w:p w14:paraId="13F9DF68" w14:textId="77777777" w:rsidR="00272C44" w:rsidRPr="00272C44" w:rsidRDefault="00272C44" w:rsidP="00272C44">
      <w:pPr>
        <w:shd w:val="clear" w:color="auto" w:fill="FFFFFF"/>
        <w:spacing w:before="240" w:after="120" w:line="240" w:lineRule="auto"/>
        <w:jc w:val="center"/>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che modifica l’allegato III della direttiva 2002/49/CE del Parlamento europeo e del Consiglio per quanto riguarda la definizione di metodi di determinazione degli effetti nocivi del rumore ambientale</w:t>
      </w:r>
    </w:p>
    <w:p w14:paraId="73FC6162" w14:textId="77777777" w:rsidR="00272C44" w:rsidRPr="00272C44" w:rsidRDefault="00272C44" w:rsidP="00272C44">
      <w:pPr>
        <w:shd w:val="clear" w:color="auto" w:fill="FFFFFF"/>
        <w:spacing w:before="240" w:after="120" w:line="240" w:lineRule="auto"/>
        <w:jc w:val="center"/>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(Testo rilevante ai fini del SEE)</w:t>
      </w:r>
    </w:p>
    <w:p w14:paraId="3430ED2E"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LA COMMISSIONE EUROPEA,</w:t>
      </w:r>
    </w:p>
    <w:p w14:paraId="5407CBDC"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visto il trattato sul funzionamento dell’Unione europea,</w:t>
      </w:r>
    </w:p>
    <w:p w14:paraId="4A24A212"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vista la direttiva 2002/49/CE del Parlamento europeo e del Consiglio, del 25 giugno 2002, relativa alla determinazione e alla gestione del rumore ambientale </w:t>
      </w:r>
      <w:hyperlink r:id="rId4" w:anchor="ntr1-L_2020067IT.01013201-E0001" w:history="1">
        <w:r w:rsidRPr="00272C44">
          <w:rPr>
            <w:rFonts w:ascii="inherit" w:eastAsia="Times New Roman" w:hAnsi="inherit" w:cs="Times New Roman"/>
            <w:color w:val="3366CC"/>
            <w:sz w:val="24"/>
            <w:szCs w:val="24"/>
            <w:u w:val="single"/>
            <w:lang w:eastAsia="it-IT"/>
          </w:rPr>
          <w:t>(</w:t>
        </w:r>
        <w:r w:rsidRPr="00272C44">
          <w:rPr>
            <w:rFonts w:ascii="inherit" w:eastAsia="Times New Roman" w:hAnsi="inherit" w:cs="Times New Roman"/>
            <w:color w:val="3366CC"/>
            <w:sz w:val="17"/>
            <w:szCs w:val="17"/>
            <w:vertAlign w:val="superscript"/>
            <w:lang w:eastAsia="it-IT"/>
          </w:rPr>
          <w:t>1</w:t>
        </w:r>
        <w:r w:rsidRPr="00272C44">
          <w:rPr>
            <w:rFonts w:ascii="inherit" w:eastAsia="Times New Roman" w:hAnsi="inherit" w:cs="Times New Roman"/>
            <w:color w:val="3366CC"/>
            <w:sz w:val="24"/>
            <w:szCs w:val="24"/>
            <w:u w:val="single"/>
            <w:lang w:eastAsia="it-IT"/>
          </w:rPr>
          <w:t>)</w:t>
        </w:r>
      </w:hyperlink>
      <w:r w:rsidRPr="00272C44">
        <w:rPr>
          <w:rFonts w:ascii="inherit" w:eastAsia="Times New Roman" w:hAnsi="inherit" w:cs="Times New Roman"/>
          <w:color w:val="000000"/>
          <w:sz w:val="24"/>
          <w:szCs w:val="24"/>
          <w:lang w:eastAsia="it-IT"/>
        </w:rPr>
        <w:t>, in particolare l’articolo 12,</w:t>
      </w:r>
    </w:p>
    <w:p w14:paraId="7A6A5CA2"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considerando quanto segue:</w:t>
      </w:r>
    </w:p>
    <w:tbl>
      <w:tblPr>
        <w:tblW w:w="5000" w:type="pct"/>
        <w:tblCellMar>
          <w:left w:w="0" w:type="dxa"/>
          <w:right w:w="0" w:type="dxa"/>
        </w:tblCellMar>
        <w:tblLook w:val="04A0" w:firstRow="1" w:lastRow="0" w:firstColumn="1" w:lastColumn="0" w:noHBand="0" w:noVBand="1"/>
      </w:tblPr>
      <w:tblGrid>
        <w:gridCol w:w="317"/>
        <w:gridCol w:w="9321"/>
      </w:tblGrid>
      <w:tr w:rsidR="00272C44" w:rsidRPr="00272C44" w14:paraId="1B6F4923" w14:textId="77777777" w:rsidTr="00272C44">
        <w:tc>
          <w:tcPr>
            <w:tcW w:w="0" w:type="auto"/>
            <w:shd w:val="clear" w:color="auto" w:fill="auto"/>
            <w:hideMark/>
          </w:tcPr>
          <w:p w14:paraId="5D70B9B9"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(1)</w:t>
            </w:r>
          </w:p>
        </w:tc>
        <w:tc>
          <w:tcPr>
            <w:tcW w:w="0" w:type="auto"/>
            <w:shd w:val="clear" w:color="auto" w:fill="auto"/>
            <w:hideMark/>
          </w:tcPr>
          <w:p w14:paraId="4891C63F"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L’allegato III della direttiva 2002/49/CE fa riferimento a relazioni dose-effetto introdotte mediante adeguamenti di detto allegato al progresso tecnico-scientifico.</w:t>
            </w:r>
          </w:p>
        </w:tc>
      </w:tr>
    </w:tbl>
    <w:p w14:paraId="17558CEC" w14:textId="77777777" w:rsidR="00272C44" w:rsidRPr="00272C44" w:rsidRDefault="00272C44" w:rsidP="00272C44">
      <w:pPr>
        <w:shd w:val="clear" w:color="auto" w:fill="FFFFFF"/>
        <w:spacing w:after="0" w:line="240" w:lineRule="auto"/>
        <w:rPr>
          <w:rFonts w:ascii="Times New Roman" w:eastAsia="Times New Roman" w:hAnsi="Times New Roman"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317"/>
        <w:gridCol w:w="9321"/>
      </w:tblGrid>
      <w:tr w:rsidR="00272C44" w:rsidRPr="00272C44" w14:paraId="55CCB25C" w14:textId="77777777" w:rsidTr="00272C44">
        <w:tc>
          <w:tcPr>
            <w:tcW w:w="0" w:type="auto"/>
            <w:shd w:val="clear" w:color="auto" w:fill="auto"/>
            <w:hideMark/>
          </w:tcPr>
          <w:p w14:paraId="480BFEF8"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(2)</w:t>
            </w:r>
          </w:p>
        </w:tc>
        <w:tc>
          <w:tcPr>
            <w:tcW w:w="0" w:type="auto"/>
            <w:shd w:val="clear" w:color="auto" w:fill="auto"/>
            <w:hideMark/>
          </w:tcPr>
          <w:p w14:paraId="0F4143A4"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Al momento dell’adozione della presente direttiva le informazioni di alta qualità e statisticamente significative utilizzabili erano quelle reperibili negli orientamenti sul rumore ambientale per la regione europea pubblicati dall’Organizzazione mondiale della sanità (OMS) </w:t>
            </w:r>
            <w:hyperlink r:id="rId5" w:anchor="ntr2-L_2020067IT.01013201-E0002" w:history="1">
              <w:r w:rsidRPr="00272C44">
                <w:rPr>
                  <w:rFonts w:ascii="inherit" w:eastAsia="Times New Roman" w:hAnsi="inherit" w:cs="Times New Roman"/>
                  <w:color w:val="3366CC"/>
                  <w:sz w:val="24"/>
                  <w:szCs w:val="24"/>
                  <w:u w:val="single"/>
                  <w:lang w:eastAsia="it-IT"/>
                </w:rPr>
                <w:t>(</w:t>
              </w:r>
              <w:r w:rsidRPr="00272C44">
                <w:rPr>
                  <w:rFonts w:ascii="inherit" w:eastAsia="Times New Roman" w:hAnsi="inherit" w:cs="Times New Roman"/>
                  <w:color w:val="3366CC"/>
                  <w:sz w:val="17"/>
                  <w:szCs w:val="17"/>
                  <w:vertAlign w:val="superscript"/>
                  <w:lang w:eastAsia="it-IT"/>
                </w:rPr>
                <w:t>2</w:t>
              </w:r>
              <w:r w:rsidRPr="00272C44">
                <w:rPr>
                  <w:rFonts w:ascii="inherit" w:eastAsia="Times New Roman" w:hAnsi="inherit" w:cs="Times New Roman"/>
                  <w:color w:val="3366CC"/>
                  <w:sz w:val="24"/>
                  <w:szCs w:val="24"/>
                  <w:u w:val="single"/>
                  <w:lang w:eastAsia="it-IT"/>
                </w:rPr>
                <w:t>)</w:t>
              </w:r>
            </w:hyperlink>
            <w:r w:rsidRPr="00272C44">
              <w:rPr>
                <w:rFonts w:ascii="inherit" w:eastAsia="Times New Roman" w:hAnsi="inherit" w:cs="Times New Roman"/>
                <w:sz w:val="24"/>
                <w:szCs w:val="24"/>
                <w:lang w:eastAsia="it-IT"/>
              </w:rPr>
              <w:t>, che presentano relazioni dose-effetto per gli effetti nocivi causati dall’esposizione al rumore ambientale. È pertanto opportuno che le relazioni dose-effetto introdotte nell’allegato III della direttiva 2002/49/CE siano basate su tali orientamenti. Per quanto concerne nello specifico la significatività statistica, gli studi dell’OMS sono basati su popolazioni rappresentative e, di conseguenza, i risultati dei presenti metodi di determinazione sono ritenuti pertinenti se applicati alle popolazioni rappresentative.</w:t>
            </w:r>
          </w:p>
        </w:tc>
      </w:tr>
    </w:tbl>
    <w:p w14:paraId="28E34DB6" w14:textId="77777777" w:rsidR="00272C44" w:rsidRPr="00272C44" w:rsidRDefault="00272C44" w:rsidP="00272C44">
      <w:pPr>
        <w:shd w:val="clear" w:color="auto" w:fill="FFFFFF"/>
        <w:spacing w:after="0" w:line="240" w:lineRule="auto"/>
        <w:rPr>
          <w:rFonts w:ascii="Times New Roman" w:eastAsia="Times New Roman" w:hAnsi="Times New Roman"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317"/>
        <w:gridCol w:w="9321"/>
      </w:tblGrid>
      <w:tr w:rsidR="00272C44" w:rsidRPr="00272C44" w14:paraId="1CFCF721" w14:textId="77777777" w:rsidTr="00272C44">
        <w:tc>
          <w:tcPr>
            <w:tcW w:w="0" w:type="auto"/>
            <w:shd w:val="clear" w:color="auto" w:fill="auto"/>
            <w:hideMark/>
          </w:tcPr>
          <w:p w14:paraId="3329143D"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(3)</w:t>
            </w:r>
          </w:p>
        </w:tc>
        <w:tc>
          <w:tcPr>
            <w:tcW w:w="0" w:type="auto"/>
            <w:shd w:val="clear" w:color="auto" w:fill="auto"/>
            <w:hideMark/>
          </w:tcPr>
          <w:p w14:paraId="49FA28D3"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Al di là delle relazioni dose-effetto elaborate nel contesto dell’OMS, altri studi potrebbero evidenziare effetti sulla salute di diversa entità e di diversa natura, segnatamente in relazione al rumore del traffico veicolare, ferroviario e degli aeromobili in circostanze locali in determinati paesi. Le relazioni dose-effetto alternative ivi definite possono essere utilizzate a condizione che siano basate su studi di alta qualità e statisticamente significativi.</w:t>
            </w:r>
          </w:p>
        </w:tc>
      </w:tr>
    </w:tbl>
    <w:p w14:paraId="2FA1639D" w14:textId="77777777" w:rsidR="00272C44" w:rsidRPr="00272C44" w:rsidRDefault="00272C44" w:rsidP="00272C44">
      <w:pPr>
        <w:shd w:val="clear" w:color="auto" w:fill="FFFFFF"/>
        <w:spacing w:after="0" w:line="240" w:lineRule="auto"/>
        <w:rPr>
          <w:rFonts w:ascii="Times New Roman" w:eastAsia="Times New Roman" w:hAnsi="Times New Roman"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317"/>
        <w:gridCol w:w="9321"/>
      </w:tblGrid>
      <w:tr w:rsidR="00272C44" w:rsidRPr="00272C44" w14:paraId="784B3E70" w14:textId="77777777" w:rsidTr="00272C44">
        <w:tc>
          <w:tcPr>
            <w:tcW w:w="0" w:type="auto"/>
            <w:shd w:val="clear" w:color="auto" w:fill="auto"/>
            <w:hideMark/>
          </w:tcPr>
          <w:p w14:paraId="5D774178"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(4)</w:t>
            </w:r>
          </w:p>
        </w:tc>
        <w:tc>
          <w:tcPr>
            <w:tcW w:w="0" w:type="auto"/>
            <w:shd w:val="clear" w:color="auto" w:fill="auto"/>
            <w:hideMark/>
          </w:tcPr>
          <w:p w14:paraId="431784B7"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Le conoscenze attualmente disponibili circa gli effetti nocivi del rumore industriale sono limitate e non è quindi possibile proporre un metodo comune per determinarne gli effetti. Inoltre, le specificità nazionali non sono state oggetto di valutazione nell’ambito di studi e, pertanto, non è stato pertanto possibile includerle nel presente allegato. Analogamente, al momento non vi sono elementi sufficienti per definire un metodo comune per la determinazione degli effetti nocivi del rumore ambientale, sebbene siano stati individuati nessi tra quest’ultimo e i seguenti effetti nocivi: ictus, ipertensione, diabete e altri disturbi metabolici, declino cognitivo dei bambini, declino della salute e del benessere mentale, disabilità uditiva, acufene, complicazioni alla nascita. Infine, nonostante sia ormai assodato il nesso tra rumore del traffico ferroviario e degli aeromobili, da un lato, e cardiopatia ischemica, dall’altro, è troppo presto per quantificare l’aumento del rischio di tale patologia riconducibile alle due sorgenti in questione.</w:t>
            </w:r>
          </w:p>
        </w:tc>
      </w:tr>
    </w:tbl>
    <w:p w14:paraId="79A74658" w14:textId="77777777" w:rsidR="00272C44" w:rsidRPr="00272C44" w:rsidRDefault="00272C44" w:rsidP="00272C44">
      <w:pPr>
        <w:shd w:val="clear" w:color="auto" w:fill="FFFFFF"/>
        <w:spacing w:after="0" w:line="240" w:lineRule="auto"/>
        <w:rPr>
          <w:rFonts w:ascii="Times New Roman" w:eastAsia="Times New Roman" w:hAnsi="Times New Roman"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386"/>
        <w:gridCol w:w="9252"/>
      </w:tblGrid>
      <w:tr w:rsidR="00272C44" w:rsidRPr="00272C44" w14:paraId="184D78B4" w14:textId="77777777" w:rsidTr="00272C44">
        <w:tc>
          <w:tcPr>
            <w:tcW w:w="0" w:type="auto"/>
            <w:shd w:val="clear" w:color="auto" w:fill="auto"/>
            <w:hideMark/>
          </w:tcPr>
          <w:p w14:paraId="2142A152"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(5)</w:t>
            </w:r>
          </w:p>
        </w:tc>
        <w:tc>
          <w:tcPr>
            <w:tcW w:w="0" w:type="auto"/>
            <w:shd w:val="clear" w:color="auto" w:fill="auto"/>
            <w:hideMark/>
          </w:tcPr>
          <w:p w14:paraId="14338A4D"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È pertanto opportuno modificare di conseguenza la direttiva 2002/49/CE.</w:t>
            </w:r>
          </w:p>
        </w:tc>
      </w:tr>
    </w:tbl>
    <w:p w14:paraId="6F1C44DD" w14:textId="77777777" w:rsidR="00272C44" w:rsidRPr="00272C44" w:rsidRDefault="00272C44" w:rsidP="00272C44">
      <w:pPr>
        <w:shd w:val="clear" w:color="auto" w:fill="FFFFFF"/>
        <w:spacing w:after="0" w:line="240" w:lineRule="auto"/>
        <w:rPr>
          <w:rFonts w:ascii="Times New Roman" w:eastAsia="Times New Roman" w:hAnsi="Times New Roman"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317"/>
        <w:gridCol w:w="9321"/>
      </w:tblGrid>
      <w:tr w:rsidR="00272C44" w:rsidRPr="00272C44" w14:paraId="4287C3AD" w14:textId="77777777" w:rsidTr="00272C44">
        <w:tc>
          <w:tcPr>
            <w:tcW w:w="0" w:type="auto"/>
            <w:shd w:val="clear" w:color="auto" w:fill="auto"/>
            <w:hideMark/>
          </w:tcPr>
          <w:p w14:paraId="2A8ACA52"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(6)</w:t>
            </w:r>
          </w:p>
        </w:tc>
        <w:tc>
          <w:tcPr>
            <w:tcW w:w="0" w:type="auto"/>
            <w:shd w:val="clear" w:color="auto" w:fill="auto"/>
            <w:hideMark/>
          </w:tcPr>
          <w:p w14:paraId="29808554"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Le misure previste dalla presente direttiva sono conformi al parere del comitato istituito dall’articolo 13 della direttiva 2002/49/CE,</w:t>
            </w:r>
          </w:p>
        </w:tc>
      </w:tr>
    </w:tbl>
    <w:p w14:paraId="6D6AADB8"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lastRenderedPageBreak/>
        <w:t>HA ADOTTATO LA PRESENTE DIRETTIVA:</w:t>
      </w:r>
    </w:p>
    <w:p w14:paraId="30975EEF" w14:textId="77777777" w:rsidR="00272C44" w:rsidRPr="00272C44" w:rsidRDefault="00272C44" w:rsidP="00272C44">
      <w:pPr>
        <w:shd w:val="clear" w:color="auto" w:fill="FFFFFF"/>
        <w:spacing w:before="360" w:after="120" w:line="240" w:lineRule="auto"/>
        <w:jc w:val="center"/>
        <w:rPr>
          <w:rFonts w:ascii="inherit" w:eastAsia="Times New Roman" w:hAnsi="inherit" w:cs="Times New Roman"/>
          <w:i/>
          <w:iCs/>
          <w:color w:val="000000"/>
          <w:sz w:val="24"/>
          <w:szCs w:val="24"/>
          <w:lang w:eastAsia="it-IT"/>
        </w:rPr>
      </w:pPr>
      <w:r w:rsidRPr="00272C44">
        <w:rPr>
          <w:rFonts w:ascii="inherit" w:eastAsia="Times New Roman" w:hAnsi="inherit" w:cs="Times New Roman"/>
          <w:i/>
          <w:iCs/>
          <w:color w:val="000000"/>
          <w:sz w:val="24"/>
          <w:szCs w:val="24"/>
          <w:lang w:eastAsia="it-IT"/>
        </w:rPr>
        <w:t>Articolo 1</w:t>
      </w:r>
    </w:p>
    <w:p w14:paraId="3A21D0AA"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L’allegato III della direttiva 2002/49/CE è sostituito dall’allegato della presente direttiva.</w:t>
      </w:r>
    </w:p>
    <w:p w14:paraId="3E4EDB6E" w14:textId="77777777" w:rsidR="00272C44" w:rsidRPr="00272C44" w:rsidRDefault="00272C44" w:rsidP="00272C44">
      <w:pPr>
        <w:shd w:val="clear" w:color="auto" w:fill="FFFFFF"/>
        <w:spacing w:before="360" w:after="120" w:line="240" w:lineRule="auto"/>
        <w:jc w:val="center"/>
        <w:rPr>
          <w:rFonts w:ascii="inherit" w:eastAsia="Times New Roman" w:hAnsi="inherit" w:cs="Times New Roman"/>
          <w:i/>
          <w:iCs/>
          <w:color w:val="000000"/>
          <w:sz w:val="24"/>
          <w:szCs w:val="24"/>
          <w:lang w:eastAsia="it-IT"/>
        </w:rPr>
      </w:pPr>
      <w:r w:rsidRPr="00272C44">
        <w:rPr>
          <w:rFonts w:ascii="inherit" w:eastAsia="Times New Roman" w:hAnsi="inherit" w:cs="Times New Roman"/>
          <w:i/>
          <w:iCs/>
          <w:color w:val="000000"/>
          <w:sz w:val="24"/>
          <w:szCs w:val="24"/>
          <w:lang w:eastAsia="it-IT"/>
        </w:rPr>
        <w:t>Articolo 2</w:t>
      </w:r>
    </w:p>
    <w:p w14:paraId="7244E459"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1.   Gli Stati membri mettono in vigore le disposizioni legislative, regolamentari e amministrative necessarie per conformarsi alla presente direttiva entro il 31 dicembre 2021. Essi trasmettono immediatamente alla Commissione il testo di tali disposizioni.</w:t>
      </w:r>
    </w:p>
    <w:p w14:paraId="57F91EEB"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Le disposizioni adottate dagli Stati membri contengono un riferimento alla presente direttiva o sono corredate di tale riferimento all’atto della pubblicazione ufficiale. Le modalità del riferimento sono decise dagli Stati membri.</w:t>
      </w:r>
    </w:p>
    <w:p w14:paraId="0B240F7E"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2.   Gli Stati membri comunicano alla Commissione il testo delle disposizioni fondamentali di diritto interno che adottano nel settore disciplinato dalla presente direttiva.</w:t>
      </w:r>
    </w:p>
    <w:p w14:paraId="0172FA64" w14:textId="77777777" w:rsidR="00272C44" w:rsidRPr="00272C44" w:rsidRDefault="00272C44" w:rsidP="00272C44">
      <w:pPr>
        <w:shd w:val="clear" w:color="auto" w:fill="FFFFFF"/>
        <w:spacing w:before="360" w:after="120" w:line="240" w:lineRule="auto"/>
        <w:jc w:val="center"/>
        <w:rPr>
          <w:rFonts w:ascii="inherit" w:eastAsia="Times New Roman" w:hAnsi="inherit" w:cs="Times New Roman"/>
          <w:i/>
          <w:iCs/>
          <w:color w:val="000000"/>
          <w:sz w:val="24"/>
          <w:szCs w:val="24"/>
          <w:lang w:eastAsia="it-IT"/>
        </w:rPr>
      </w:pPr>
      <w:r w:rsidRPr="00272C44">
        <w:rPr>
          <w:rFonts w:ascii="inherit" w:eastAsia="Times New Roman" w:hAnsi="inherit" w:cs="Times New Roman"/>
          <w:i/>
          <w:iCs/>
          <w:color w:val="000000"/>
          <w:sz w:val="24"/>
          <w:szCs w:val="24"/>
          <w:lang w:eastAsia="it-IT"/>
        </w:rPr>
        <w:t>Articolo 3</w:t>
      </w:r>
    </w:p>
    <w:p w14:paraId="32FC88D9"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La presente direttiva entra in vigore il ventesimo giorno successivo alla pubblicazione nella </w:t>
      </w:r>
      <w:r w:rsidRPr="00272C44">
        <w:rPr>
          <w:rFonts w:ascii="inherit" w:eastAsia="Times New Roman" w:hAnsi="inherit" w:cs="Times New Roman"/>
          <w:i/>
          <w:iCs/>
          <w:color w:val="000000"/>
          <w:sz w:val="24"/>
          <w:szCs w:val="24"/>
          <w:lang w:eastAsia="it-IT"/>
        </w:rPr>
        <w:t>Gazzetta ufficiale dell’Unione europea</w:t>
      </w:r>
      <w:r w:rsidRPr="00272C44">
        <w:rPr>
          <w:rFonts w:ascii="inherit" w:eastAsia="Times New Roman" w:hAnsi="inherit" w:cs="Times New Roman"/>
          <w:color w:val="000000"/>
          <w:sz w:val="24"/>
          <w:szCs w:val="24"/>
          <w:lang w:eastAsia="it-IT"/>
        </w:rPr>
        <w:t>.</w:t>
      </w:r>
    </w:p>
    <w:p w14:paraId="1D1AC15B" w14:textId="77777777" w:rsidR="00272C44" w:rsidRPr="00272C44" w:rsidRDefault="00272C44" w:rsidP="00272C44">
      <w:pPr>
        <w:shd w:val="clear" w:color="auto" w:fill="FFFFFF"/>
        <w:spacing w:before="360" w:after="120" w:line="240" w:lineRule="auto"/>
        <w:jc w:val="center"/>
        <w:rPr>
          <w:rFonts w:ascii="inherit" w:eastAsia="Times New Roman" w:hAnsi="inherit" w:cs="Times New Roman"/>
          <w:i/>
          <w:iCs/>
          <w:color w:val="000000"/>
          <w:sz w:val="24"/>
          <w:szCs w:val="24"/>
          <w:lang w:eastAsia="it-IT"/>
        </w:rPr>
      </w:pPr>
      <w:r w:rsidRPr="00272C44">
        <w:rPr>
          <w:rFonts w:ascii="inherit" w:eastAsia="Times New Roman" w:hAnsi="inherit" w:cs="Times New Roman"/>
          <w:i/>
          <w:iCs/>
          <w:color w:val="000000"/>
          <w:sz w:val="24"/>
          <w:szCs w:val="24"/>
          <w:lang w:eastAsia="it-IT"/>
        </w:rPr>
        <w:t>Articolo 4</w:t>
      </w:r>
    </w:p>
    <w:p w14:paraId="26787AD7"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Gli Stati membri sono destinatari della presente direttiva.</w:t>
      </w:r>
    </w:p>
    <w:p w14:paraId="770D63D4" w14:textId="77777777" w:rsidR="00272C44" w:rsidRPr="00272C44" w:rsidRDefault="00272C44" w:rsidP="00272C44">
      <w:pPr>
        <w:shd w:val="clear" w:color="auto" w:fill="FFFFFF"/>
        <w:spacing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Fatto a Bruxelles, il 4 marzo 2020</w:t>
      </w:r>
    </w:p>
    <w:p w14:paraId="57BBBCC7" w14:textId="77777777" w:rsidR="00272C44" w:rsidRPr="00272C44" w:rsidRDefault="00272C44" w:rsidP="00272C44">
      <w:pPr>
        <w:shd w:val="clear" w:color="auto" w:fill="FFFFFF"/>
        <w:spacing w:before="60" w:after="60" w:line="240" w:lineRule="auto"/>
        <w:jc w:val="center"/>
        <w:rPr>
          <w:rFonts w:ascii="inherit" w:eastAsia="Times New Roman" w:hAnsi="inherit" w:cs="Times New Roman"/>
          <w:color w:val="000000"/>
          <w:sz w:val="24"/>
          <w:szCs w:val="24"/>
          <w:lang w:eastAsia="it-IT"/>
        </w:rPr>
      </w:pPr>
      <w:r w:rsidRPr="00272C44">
        <w:rPr>
          <w:rFonts w:ascii="inherit" w:eastAsia="Times New Roman" w:hAnsi="inherit" w:cs="Times New Roman"/>
          <w:i/>
          <w:iCs/>
          <w:color w:val="000000"/>
          <w:sz w:val="24"/>
          <w:szCs w:val="24"/>
          <w:lang w:eastAsia="it-IT"/>
        </w:rPr>
        <w:t>Per la Commissione</w:t>
      </w:r>
    </w:p>
    <w:p w14:paraId="58461128" w14:textId="77777777" w:rsidR="00272C44" w:rsidRPr="00272C44" w:rsidRDefault="00272C44" w:rsidP="00272C44">
      <w:pPr>
        <w:shd w:val="clear" w:color="auto" w:fill="FFFFFF"/>
        <w:spacing w:before="60" w:after="60" w:line="240" w:lineRule="auto"/>
        <w:jc w:val="center"/>
        <w:rPr>
          <w:rFonts w:ascii="inherit" w:eastAsia="Times New Roman" w:hAnsi="inherit" w:cs="Times New Roman"/>
          <w:color w:val="000000"/>
          <w:sz w:val="24"/>
          <w:szCs w:val="24"/>
          <w:lang w:eastAsia="it-IT"/>
        </w:rPr>
      </w:pPr>
      <w:proofErr w:type="spellStart"/>
      <w:r w:rsidRPr="00272C44">
        <w:rPr>
          <w:rFonts w:ascii="inherit" w:eastAsia="Times New Roman" w:hAnsi="inherit" w:cs="Times New Roman"/>
          <w:color w:val="000000"/>
          <w:sz w:val="24"/>
          <w:szCs w:val="24"/>
          <w:lang w:eastAsia="it-IT"/>
        </w:rPr>
        <w:t>Virginijus</w:t>
      </w:r>
      <w:proofErr w:type="spellEnd"/>
      <w:r w:rsidRPr="00272C44">
        <w:rPr>
          <w:rFonts w:ascii="inherit" w:eastAsia="Times New Roman" w:hAnsi="inherit" w:cs="Times New Roman"/>
          <w:color w:val="000000"/>
          <w:sz w:val="24"/>
          <w:szCs w:val="24"/>
          <w:lang w:eastAsia="it-IT"/>
        </w:rPr>
        <w:t xml:space="preserve"> SINKEVIČIUS</w:t>
      </w:r>
    </w:p>
    <w:p w14:paraId="130D16D5" w14:textId="77777777" w:rsidR="00272C44" w:rsidRPr="00272C44" w:rsidRDefault="00272C44" w:rsidP="00272C44">
      <w:pPr>
        <w:shd w:val="clear" w:color="auto" w:fill="FFFFFF"/>
        <w:spacing w:before="60" w:after="60" w:line="240" w:lineRule="auto"/>
        <w:jc w:val="center"/>
        <w:rPr>
          <w:rFonts w:ascii="inherit" w:eastAsia="Times New Roman" w:hAnsi="inherit" w:cs="Times New Roman"/>
          <w:color w:val="000000"/>
          <w:sz w:val="24"/>
          <w:szCs w:val="24"/>
          <w:lang w:eastAsia="it-IT"/>
        </w:rPr>
      </w:pPr>
      <w:r w:rsidRPr="00272C44">
        <w:rPr>
          <w:rFonts w:ascii="inherit" w:eastAsia="Times New Roman" w:hAnsi="inherit" w:cs="Times New Roman"/>
          <w:i/>
          <w:iCs/>
          <w:color w:val="000000"/>
          <w:sz w:val="24"/>
          <w:szCs w:val="24"/>
          <w:lang w:eastAsia="it-IT"/>
        </w:rPr>
        <w:t>Membro della Commissione</w:t>
      </w:r>
    </w:p>
    <w:p w14:paraId="7831A10C" w14:textId="77777777" w:rsidR="00272C44" w:rsidRPr="00272C44" w:rsidRDefault="00272C44" w:rsidP="00272C44">
      <w:pPr>
        <w:shd w:val="clear" w:color="auto" w:fill="FFFFFF"/>
        <w:spacing w:before="240" w:after="60" w:line="240" w:lineRule="auto"/>
        <w:rPr>
          <w:rFonts w:ascii="Times New Roman" w:eastAsia="Times New Roman" w:hAnsi="Times New Roman" w:cs="Times New Roman"/>
          <w:color w:val="000000"/>
          <w:sz w:val="24"/>
          <w:szCs w:val="24"/>
          <w:lang w:eastAsia="it-IT"/>
        </w:rPr>
      </w:pPr>
      <w:r w:rsidRPr="00272C44">
        <w:rPr>
          <w:rFonts w:ascii="Times New Roman" w:eastAsia="Times New Roman" w:hAnsi="Times New Roman" w:cs="Times New Roman"/>
          <w:color w:val="000000"/>
          <w:sz w:val="24"/>
          <w:szCs w:val="24"/>
          <w:lang w:eastAsia="it-IT"/>
        </w:rPr>
        <w:pict w14:anchorId="419E9F8C">
          <v:rect id="_x0000_i1025" style="width:205.25pt;height:.75pt" o:hrpct="0" o:hrstd="t" o:hrnoshade="t" o:hr="t" fillcolor="black" stroked="f"/>
        </w:pict>
      </w:r>
    </w:p>
    <w:p w14:paraId="22FC47FE" w14:textId="77777777" w:rsidR="00272C44" w:rsidRPr="00272C44" w:rsidRDefault="00272C44" w:rsidP="00272C44">
      <w:pPr>
        <w:shd w:val="clear" w:color="auto" w:fill="FFFFFF"/>
        <w:spacing w:before="60" w:after="60" w:line="240" w:lineRule="auto"/>
        <w:jc w:val="both"/>
        <w:rPr>
          <w:rFonts w:ascii="inherit" w:eastAsia="Times New Roman" w:hAnsi="inherit" w:cs="Times New Roman"/>
          <w:color w:val="000000"/>
          <w:sz w:val="19"/>
          <w:szCs w:val="19"/>
          <w:lang w:eastAsia="it-IT"/>
        </w:rPr>
      </w:pPr>
      <w:hyperlink r:id="rId6" w:anchor="ntc1-L_2020067IT.01013201-E0001" w:history="1">
        <w:r w:rsidRPr="00272C44">
          <w:rPr>
            <w:rFonts w:ascii="inherit" w:eastAsia="Times New Roman" w:hAnsi="inherit" w:cs="Times New Roman"/>
            <w:color w:val="3366CC"/>
            <w:sz w:val="19"/>
            <w:szCs w:val="19"/>
            <w:u w:val="single"/>
            <w:lang w:eastAsia="it-IT"/>
          </w:rPr>
          <w:t>(</w:t>
        </w:r>
        <w:r w:rsidRPr="00272C44">
          <w:rPr>
            <w:rFonts w:ascii="inherit" w:eastAsia="Times New Roman" w:hAnsi="inherit" w:cs="Times New Roman"/>
            <w:color w:val="3366CC"/>
            <w:sz w:val="13"/>
            <w:szCs w:val="13"/>
            <w:vertAlign w:val="superscript"/>
            <w:lang w:eastAsia="it-IT"/>
          </w:rPr>
          <w:t>1</w:t>
        </w:r>
        <w:r w:rsidRPr="00272C44">
          <w:rPr>
            <w:rFonts w:ascii="inherit" w:eastAsia="Times New Roman" w:hAnsi="inherit" w:cs="Times New Roman"/>
            <w:color w:val="3366CC"/>
            <w:sz w:val="19"/>
            <w:szCs w:val="19"/>
            <w:u w:val="single"/>
            <w:lang w:eastAsia="it-IT"/>
          </w:rPr>
          <w:t>)</w:t>
        </w:r>
      </w:hyperlink>
      <w:r w:rsidRPr="00272C44">
        <w:rPr>
          <w:rFonts w:ascii="inherit" w:eastAsia="Times New Roman" w:hAnsi="inherit" w:cs="Times New Roman"/>
          <w:color w:val="000000"/>
          <w:sz w:val="19"/>
          <w:szCs w:val="19"/>
          <w:lang w:eastAsia="it-IT"/>
        </w:rPr>
        <w:t>  </w:t>
      </w:r>
      <w:hyperlink r:id="rId7" w:history="1">
        <w:r w:rsidRPr="00272C44">
          <w:rPr>
            <w:rFonts w:ascii="inherit" w:eastAsia="Times New Roman" w:hAnsi="inherit" w:cs="Times New Roman"/>
            <w:color w:val="3366CC"/>
            <w:sz w:val="19"/>
            <w:szCs w:val="19"/>
            <w:u w:val="single"/>
            <w:lang w:eastAsia="it-IT"/>
          </w:rPr>
          <w:t>GU L 189 del 18.7.2002, pag. 12</w:t>
        </w:r>
      </w:hyperlink>
      <w:r w:rsidRPr="00272C44">
        <w:rPr>
          <w:rFonts w:ascii="inherit" w:eastAsia="Times New Roman" w:hAnsi="inherit" w:cs="Times New Roman"/>
          <w:color w:val="000000"/>
          <w:sz w:val="19"/>
          <w:szCs w:val="19"/>
          <w:lang w:eastAsia="it-IT"/>
        </w:rPr>
        <w:t>.</w:t>
      </w:r>
    </w:p>
    <w:p w14:paraId="43628DDA" w14:textId="77777777" w:rsidR="00272C44" w:rsidRPr="00272C44" w:rsidRDefault="00272C44" w:rsidP="00272C44">
      <w:pPr>
        <w:shd w:val="clear" w:color="auto" w:fill="FFFFFF"/>
        <w:spacing w:before="60" w:after="60" w:line="240" w:lineRule="auto"/>
        <w:jc w:val="both"/>
        <w:rPr>
          <w:rFonts w:ascii="inherit" w:eastAsia="Times New Roman" w:hAnsi="inherit" w:cs="Times New Roman"/>
          <w:color w:val="000000"/>
          <w:sz w:val="19"/>
          <w:szCs w:val="19"/>
          <w:lang w:eastAsia="it-IT"/>
        </w:rPr>
      </w:pPr>
      <w:hyperlink r:id="rId8" w:anchor="ntc2-L_2020067IT.01013201-E0002" w:history="1">
        <w:r w:rsidRPr="00272C44">
          <w:rPr>
            <w:rFonts w:ascii="inherit" w:eastAsia="Times New Roman" w:hAnsi="inherit" w:cs="Times New Roman"/>
            <w:color w:val="3366CC"/>
            <w:sz w:val="19"/>
            <w:szCs w:val="19"/>
            <w:u w:val="single"/>
            <w:lang w:eastAsia="it-IT"/>
          </w:rPr>
          <w:t>(</w:t>
        </w:r>
        <w:r w:rsidRPr="00272C44">
          <w:rPr>
            <w:rFonts w:ascii="inherit" w:eastAsia="Times New Roman" w:hAnsi="inherit" w:cs="Times New Roman"/>
            <w:color w:val="3366CC"/>
            <w:sz w:val="13"/>
            <w:szCs w:val="13"/>
            <w:vertAlign w:val="superscript"/>
            <w:lang w:eastAsia="it-IT"/>
          </w:rPr>
          <w:t>2</w:t>
        </w:r>
        <w:r w:rsidRPr="00272C44">
          <w:rPr>
            <w:rFonts w:ascii="inherit" w:eastAsia="Times New Roman" w:hAnsi="inherit" w:cs="Times New Roman"/>
            <w:color w:val="3366CC"/>
            <w:sz w:val="19"/>
            <w:szCs w:val="19"/>
            <w:u w:val="single"/>
            <w:lang w:eastAsia="it-IT"/>
          </w:rPr>
          <w:t>)</w:t>
        </w:r>
      </w:hyperlink>
      <w:r w:rsidRPr="00272C44">
        <w:rPr>
          <w:rFonts w:ascii="inherit" w:eastAsia="Times New Roman" w:hAnsi="inherit" w:cs="Times New Roman"/>
          <w:color w:val="000000"/>
          <w:sz w:val="19"/>
          <w:szCs w:val="19"/>
          <w:lang w:eastAsia="it-IT"/>
        </w:rPr>
        <w:t>  </w:t>
      </w:r>
      <w:proofErr w:type="spellStart"/>
      <w:r w:rsidRPr="00272C44">
        <w:rPr>
          <w:rFonts w:ascii="inherit" w:eastAsia="Times New Roman" w:hAnsi="inherit" w:cs="Times New Roman"/>
          <w:i/>
          <w:iCs/>
          <w:color w:val="000000"/>
          <w:sz w:val="19"/>
          <w:szCs w:val="19"/>
          <w:lang w:eastAsia="it-IT"/>
        </w:rPr>
        <w:t>Environmental</w:t>
      </w:r>
      <w:proofErr w:type="spellEnd"/>
      <w:r w:rsidRPr="00272C44">
        <w:rPr>
          <w:rFonts w:ascii="inherit" w:eastAsia="Times New Roman" w:hAnsi="inherit" w:cs="Times New Roman"/>
          <w:i/>
          <w:iCs/>
          <w:color w:val="000000"/>
          <w:sz w:val="19"/>
          <w:szCs w:val="19"/>
          <w:lang w:eastAsia="it-IT"/>
        </w:rPr>
        <w:t xml:space="preserve"> </w:t>
      </w:r>
      <w:proofErr w:type="spellStart"/>
      <w:r w:rsidRPr="00272C44">
        <w:rPr>
          <w:rFonts w:ascii="inherit" w:eastAsia="Times New Roman" w:hAnsi="inherit" w:cs="Times New Roman"/>
          <w:i/>
          <w:iCs/>
          <w:color w:val="000000"/>
          <w:sz w:val="19"/>
          <w:szCs w:val="19"/>
          <w:lang w:eastAsia="it-IT"/>
        </w:rPr>
        <w:t>Noise</w:t>
      </w:r>
      <w:proofErr w:type="spellEnd"/>
      <w:r w:rsidRPr="00272C44">
        <w:rPr>
          <w:rFonts w:ascii="inherit" w:eastAsia="Times New Roman" w:hAnsi="inherit" w:cs="Times New Roman"/>
          <w:i/>
          <w:iCs/>
          <w:color w:val="000000"/>
          <w:sz w:val="19"/>
          <w:szCs w:val="19"/>
          <w:lang w:eastAsia="it-IT"/>
        </w:rPr>
        <w:t xml:space="preserve"> </w:t>
      </w:r>
      <w:proofErr w:type="spellStart"/>
      <w:r w:rsidRPr="00272C44">
        <w:rPr>
          <w:rFonts w:ascii="inherit" w:eastAsia="Times New Roman" w:hAnsi="inherit" w:cs="Times New Roman"/>
          <w:i/>
          <w:iCs/>
          <w:color w:val="000000"/>
          <w:sz w:val="19"/>
          <w:szCs w:val="19"/>
          <w:lang w:eastAsia="it-IT"/>
        </w:rPr>
        <w:t>Guidelines</w:t>
      </w:r>
      <w:proofErr w:type="spellEnd"/>
      <w:r w:rsidRPr="00272C44">
        <w:rPr>
          <w:rFonts w:ascii="inherit" w:eastAsia="Times New Roman" w:hAnsi="inherit" w:cs="Times New Roman"/>
          <w:i/>
          <w:iCs/>
          <w:color w:val="000000"/>
          <w:sz w:val="19"/>
          <w:szCs w:val="19"/>
          <w:lang w:eastAsia="it-IT"/>
        </w:rPr>
        <w:t xml:space="preserve"> for the </w:t>
      </w:r>
      <w:proofErr w:type="spellStart"/>
      <w:r w:rsidRPr="00272C44">
        <w:rPr>
          <w:rFonts w:ascii="inherit" w:eastAsia="Times New Roman" w:hAnsi="inherit" w:cs="Times New Roman"/>
          <w:i/>
          <w:iCs/>
          <w:color w:val="000000"/>
          <w:sz w:val="19"/>
          <w:szCs w:val="19"/>
          <w:lang w:eastAsia="it-IT"/>
        </w:rPr>
        <w:t>European</w:t>
      </w:r>
      <w:proofErr w:type="spellEnd"/>
      <w:r w:rsidRPr="00272C44">
        <w:rPr>
          <w:rFonts w:ascii="inherit" w:eastAsia="Times New Roman" w:hAnsi="inherit" w:cs="Times New Roman"/>
          <w:i/>
          <w:iCs/>
          <w:color w:val="000000"/>
          <w:sz w:val="19"/>
          <w:szCs w:val="19"/>
          <w:lang w:eastAsia="it-IT"/>
        </w:rPr>
        <w:t xml:space="preserve"> </w:t>
      </w:r>
      <w:proofErr w:type="spellStart"/>
      <w:r w:rsidRPr="00272C44">
        <w:rPr>
          <w:rFonts w:ascii="inherit" w:eastAsia="Times New Roman" w:hAnsi="inherit" w:cs="Times New Roman"/>
          <w:i/>
          <w:iCs/>
          <w:color w:val="000000"/>
          <w:sz w:val="19"/>
          <w:szCs w:val="19"/>
          <w:lang w:eastAsia="it-IT"/>
        </w:rPr>
        <w:t>Region</w:t>
      </w:r>
      <w:proofErr w:type="spellEnd"/>
      <w:r w:rsidRPr="00272C44">
        <w:rPr>
          <w:rFonts w:ascii="inherit" w:eastAsia="Times New Roman" w:hAnsi="inherit" w:cs="Times New Roman"/>
          <w:color w:val="000000"/>
          <w:sz w:val="19"/>
          <w:szCs w:val="19"/>
          <w:lang w:eastAsia="it-IT"/>
        </w:rPr>
        <w:t>, Organizzazione mondiale della sanità, 2018, ISBN 978 92 890 5356 3.</w:t>
      </w:r>
    </w:p>
    <w:p w14:paraId="36E8AEFA" w14:textId="77777777" w:rsidR="00272C44" w:rsidRPr="00272C44" w:rsidRDefault="00272C44" w:rsidP="00272C44">
      <w:pPr>
        <w:spacing w:before="120" w:after="120" w:line="240" w:lineRule="auto"/>
        <w:rPr>
          <w:rFonts w:ascii="Times New Roman" w:eastAsia="Times New Roman" w:hAnsi="Times New Roman" w:cs="Times New Roman"/>
          <w:sz w:val="24"/>
          <w:szCs w:val="24"/>
          <w:lang w:eastAsia="it-IT"/>
        </w:rPr>
      </w:pPr>
      <w:r w:rsidRPr="00272C44">
        <w:rPr>
          <w:rFonts w:ascii="Times New Roman" w:eastAsia="Times New Roman" w:hAnsi="Times New Roman" w:cs="Times New Roman"/>
          <w:sz w:val="24"/>
          <w:szCs w:val="24"/>
          <w:lang w:eastAsia="it-IT"/>
        </w:rPr>
        <w:pict w14:anchorId="7D5B8DE1">
          <v:rect id="_x0000_i1026" style="width:102.6pt;height:.75pt" o:hrpct="0" o:hralign="center" o:hrstd="t" o:hrnoshade="t" o:hr="t" fillcolor="black" stroked="f"/>
        </w:pict>
      </w:r>
    </w:p>
    <w:p w14:paraId="178D6AF0" w14:textId="77777777" w:rsidR="00272C44" w:rsidRPr="00272C44" w:rsidRDefault="00272C44" w:rsidP="00272C44">
      <w:pPr>
        <w:shd w:val="clear" w:color="auto" w:fill="FFFFFF"/>
        <w:spacing w:before="240" w:after="120" w:line="240" w:lineRule="auto"/>
        <w:jc w:val="center"/>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ALLEGATO</w:t>
      </w:r>
    </w:p>
    <w:p w14:paraId="274C42EB" w14:textId="77777777" w:rsidR="00272C44" w:rsidRPr="00272C44" w:rsidRDefault="00272C44" w:rsidP="00272C44">
      <w:pPr>
        <w:shd w:val="clear" w:color="auto" w:fill="FFFFFF"/>
        <w:spacing w:before="240" w:after="120" w:line="240" w:lineRule="auto"/>
        <w:jc w:val="center"/>
        <w:rPr>
          <w:rFonts w:ascii="inherit" w:eastAsia="Times New Roman" w:hAnsi="inherit" w:cs="Times New Roman"/>
          <w:b/>
          <w:bCs/>
          <w:i/>
          <w:iCs/>
          <w:color w:val="000000"/>
          <w:sz w:val="24"/>
          <w:szCs w:val="24"/>
          <w:lang w:eastAsia="it-IT"/>
        </w:rPr>
      </w:pPr>
      <w:r w:rsidRPr="00272C44">
        <w:rPr>
          <w:rFonts w:ascii="inherit" w:eastAsia="Times New Roman" w:hAnsi="inherit" w:cs="Times New Roman"/>
          <w:b/>
          <w:bCs/>
          <w:i/>
          <w:iCs/>
          <w:color w:val="000000"/>
          <w:sz w:val="24"/>
          <w:szCs w:val="24"/>
          <w:lang w:eastAsia="it-IT"/>
        </w:rPr>
        <w:t>«ALLEGATO III</w:t>
      </w:r>
    </w:p>
    <w:p w14:paraId="33B00105" w14:textId="77777777" w:rsidR="00272C44" w:rsidRPr="00272C44" w:rsidRDefault="00272C44" w:rsidP="00272C44">
      <w:pPr>
        <w:shd w:val="clear" w:color="auto" w:fill="FFFFFF"/>
        <w:spacing w:before="240" w:after="120" w:line="240" w:lineRule="auto"/>
        <w:jc w:val="center"/>
        <w:rPr>
          <w:rFonts w:ascii="inherit" w:eastAsia="Times New Roman" w:hAnsi="inherit" w:cs="Times New Roman"/>
          <w:b/>
          <w:bCs/>
          <w:i/>
          <w:iCs/>
          <w:color w:val="000000"/>
          <w:sz w:val="24"/>
          <w:szCs w:val="24"/>
          <w:lang w:eastAsia="it-IT"/>
        </w:rPr>
      </w:pPr>
      <w:r w:rsidRPr="00272C44">
        <w:rPr>
          <w:rFonts w:ascii="inherit" w:eastAsia="Times New Roman" w:hAnsi="inherit" w:cs="Times New Roman"/>
          <w:b/>
          <w:bCs/>
          <w:i/>
          <w:iCs/>
          <w:color w:val="000000"/>
          <w:sz w:val="24"/>
          <w:szCs w:val="24"/>
          <w:lang w:eastAsia="it-IT"/>
        </w:rPr>
        <w:t>METODI DI DETERMINAZIONE DEGLI EFFETTI NOCIVI</w:t>
      </w:r>
    </w:p>
    <w:p w14:paraId="0223F9E2" w14:textId="77777777" w:rsidR="00272C44" w:rsidRPr="00272C44" w:rsidRDefault="00272C44" w:rsidP="00272C44">
      <w:pPr>
        <w:shd w:val="clear" w:color="auto" w:fill="FFFFFF"/>
        <w:spacing w:before="240" w:after="120" w:line="240" w:lineRule="auto"/>
        <w:jc w:val="center"/>
        <w:rPr>
          <w:rFonts w:ascii="inherit" w:eastAsia="Times New Roman" w:hAnsi="inherit" w:cs="Times New Roman"/>
          <w:b/>
          <w:bCs/>
          <w:i/>
          <w:iCs/>
          <w:color w:val="000000"/>
          <w:sz w:val="24"/>
          <w:szCs w:val="24"/>
          <w:lang w:eastAsia="it-IT"/>
        </w:rPr>
      </w:pPr>
      <w:r w:rsidRPr="00272C44">
        <w:rPr>
          <w:rFonts w:ascii="inherit" w:eastAsia="Times New Roman" w:hAnsi="inherit" w:cs="Times New Roman"/>
          <w:b/>
          <w:bCs/>
          <w:i/>
          <w:iCs/>
          <w:color w:val="000000"/>
          <w:sz w:val="24"/>
          <w:szCs w:val="24"/>
          <w:lang w:eastAsia="it-IT"/>
        </w:rPr>
        <w:t>di cui all’articolo 6, paragrafo 3</w:t>
      </w:r>
    </w:p>
    <w:p w14:paraId="3935F725" w14:textId="77777777" w:rsidR="00272C44" w:rsidRPr="00272C44" w:rsidRDefault="00272C44" w:rsidP="00272C44">
      <w:pPr>
        <w:shd w:val="clear" w:color="auto" w:fill="FFFFFF"/>
        <w:spacing w:before="240" w:after="120" w:line="240" w:lineRule="auto"/>
        <w:jc w:val="both"/>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1.   Insieme degli effetti nocivi</w:t>
      </w:r>
    </w:p>
    <w:p w14:paraId="66570814"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Ai fini della determinazione degli effetti nocivi sono presi in considerazione:</w:t>
      </w:r>
    </w:p>
    <w:tbl>
      <w:tblPr>
        <w:tblW w:w="5000" w:type="pct"/>
        <w:tblCellMar>
          <w:left w:w="0" w:type="dxa"/>
          <w:right w:w="0" w:type="dxa"/>
        </w:tblCellMar>
        <w:tblLook w:val="04A0" w:firstRow="1" w:lastRow="0" w:firstColumn="1" w:lastColumn="0" w:noHBand="0" w:noVBand="1"/>
      </w:tblPr>
      <w:tblGrid>
        <w:gridCol w:w="240"/>
        <w:gridCol w:w="9398"/>
      </w:tblGrid>
      <w:tr w:rsidR="00272C44" w:rsidRPr="00272C44" w14:paraId="7798E7F1" w14:textId="77777777" w:rsidTr="00272C44">
        <w:tc>
          <w:tcPr>
            <w:tcW w:w="0" w:type="auto"/>
            <w:shd w:val="clear" w:color="auto" w:fill="auto"/>
            <w:hideMark/>
          </w:tcPr>
          <w:p w14:paraId="33DDDC9B"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6164EB04"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la cardiopatia ischemica (</w:t>
            </w:r>
            <w:proofErr w:type="spellStart"/>
            <w:r w:rsidRPr="00272C44">
              <w:rPr>
                <w:rFonts w:ascii="inherit" w:eastAsia="Times New Roman" w:hAnsi="inherit" w:cs="Times New Roman"/>
                <w:i/>
                <w:iCs/>
                <w:sz w:val="24"/>
                <w:szCs w:val="24"/>
                <w:lang w:eastAsia="it-IT"/>
              </w:rPr>
              <w:t>ischaemic</w:t>
            </w:r>
            <w:proofErr w:type="spellEnd"/>
            <w:r w:rsidRPr="00272C44">
              <w:rPr>
                <w:rFonts w:ascii="inherit" w:eastAsia="Times New Roman" w:hAnsi="inherit" w:cs="Times New Roman"/>
                <w:i/>
                <w:iCs/>
                <w:sz w:val="24"/>
                <w:szCs w:val="24"/>
                <w:lang w:eastAsia="it-IT"/>
              </w:rPr>
              <w:t xml:space="preserve"> </w:t>
            </w:r>
            <w:proofErr w:type="spellStart"/>
            <w:r w:rsidRPr="00272C44">
              <w:rPr>
                <w:rFonts w:ascii="inherit" w:eastAsia="Times New Roman" w:hAnsi="inherit" w:cs="Times New Roman"/>
                <w:i/>
                <w:iCs/>
                <w:sz w:val="24"/>
                <w:szCs w:val="24"/>
                <w:lang w:eastAsia="it-IT"/>
              </w:rPr>
              <w:t>heart</w:t>
            </w:r>
            <w:proofErr w:type="spellEnd"/>
            <w:r w:rsidRPr="00272C44">
              <w:rPr>
                <w:rFonts w:ascii="inherit" w:eastAsia="Times New Roman" w:hAnsi="inherit" w:cs="Times New Roman"/>
                <w:i/>
                <w:iCs/>
                <w:sz w:val="24"/>
                <w:szCs w:val="24"/>
                <w:lang w:eastAsia="it-IT"/>
              </w:rPr>
              <w:t xml:space="preserve"> </w:t>
            </w:r>
            <w:proofErr w:type="spellStart"/>
            <w:r w:rsidRPr="00272C44">
              <w:rPr>
                <w:rFonts w:ascii="inherit" w:eastAsia="Times New Roman" w:hAnsi="inherit" w:cs="Times New Roman"/>
                <w:i/>
                <w:iCs/>
                <w:sz w:val="24"/>
                <w:szCs w:val="24"/>
                <w:lang w:eastAsia="it-IT"/>
              </w:rPr>
              <w:t>disease</w:t>
            </w:r>
            <w:proofErr w:type="spellEnd"/>
            <w:r w:rsidRPr="00272C44">
              <w:rPr>
                <w:rFonts w:ascii="inherit" w:eastAsia="Times New Roman" w:hAnsi="inherit" w:cs="Times New Roman"/>
                <w:sz w:val="24"/>
                <w:szCs w:val="24"/>
                <w:lang w:eastAsia="it-IT"/>
              </w:rPr>
              <w:t>, IHD), corrispondente ai codici da BA40 a BA6Z della classificazione internazionale ICD-11 dell’Organizzazione mondiale della sanità;</w:t>
            </w:r>
          </w:p>
        </w:tc>
      </w:tr>
    </w:tbl>
    <w:p w14:paraId="4007138B"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573"/>
        <w:gridCol w:w="9065"/>
      </w:tblGrid>
      <w:tr w:rsidR="00272C44" w:rsidRPr="00272C44" w14:paraId="216DB676" w14:textId="77777777" w:rsidTr="00272C44">
        <w:tc>
          <w:tcPr>
            <w:tcW w:w="0" w:type="auto"/>
            <w:shd w:val="clear" w:color="auto" w:fill="auto"/>
            <w:hideMark/>
          </w:tcPr>
          <w:p w14:paraId="6A85933C"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216E598A"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il fastidio forte (</w:t>
            </w:r>
            <w:r w:rsidRPr="00272C44">
              <w:rPr>
                <w:rFonts w:ascii="inherit" w:eastAsia="Times New Roman" w:hAnsi="inherit" w:cs="Times New Roman"/>
                <w:i/>
                <w:iCs/>
                <w:sz w:val="24"/>
                <w:szCs w:val="24"/>
                <w:lang w:eastAsia="it-IT"/>
              </w:rPr>
              <w:t xml:space="preserve">high </w:t>
            </w:r>
            <w:proofErr w:type="spellStart"/>
            <w:r w:rsidRPr="00272C44">
              <w:rPr>
                <w:rFonts w:ascii="inherit" w:eastAsia="Times New Roman" w:hAnsi="inherit" w:cs="Times New Roman"/>
                <w:i/>
                <w:iCs/>
                <w:sz w:val="24"/>
                <w:szCs w:val="24"/>
                <w:lang w:eastAsia="it-IT"/>
              </w:rPr>
              <w:t>annoyance</w:t>
            </w:r>
            <w:proofErr w:type="spellEnd"/>
            <w:r w:rsidRPr="00272C44">
              <w:rPr>
                <w:rFonts w:ascii="inherit" w:eastAsia="Times New Roman" w:hAnsi="inherit" w:cs="Times New Roman"/>
                <w:i/>
                <w:iCs/>
                <w:sz w:val="24"/>
                <w:szCs w:val="24"/>
                <w:lang w:eastAsia="it-IT"/>
              </w:rPr>
              <w:t>,</w:t>
            </w:r>
            <w:r w:rsidRPr="00272C44">
              <w:rPr>
                <w:rFonts w:ascii="inherit" w:eastAsia="Times New Roman" w:hAnsi="inherit" w:cs="Times New Roman"/>
                <w:sz w:val="24"/>
                <w:szCs w:val="24"/>
                <w:lang w:eastAsia="it-IT"/>
              </w:rPr>
              <w:t> HA);</w:t>
            </w:r>
          </w:p>
        </w:tc>
      </w:tr>
    </w:tbl>
    <w:p w14:paraId="08FD909B"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395"/>
        <w:gridCol w:w="9243"/>
      </w:tblGrid>
      <w:tr w:rsidR="00272C44" w:rsidRPr="00272C44" w14:paraId="439D7952" w14:textId="77777777" w:rsidTr="00272C44">
        <w:tc>
          <w:tcPr>
            <w:tcW w:w="0" w:type="auto"/>
            <w:shd w:val="clear" w:color="auto" w:fill="auto"/>
            <w:hideMark/>
          </w:tcPr>
          <w:p w14:paraId="02A14595"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lastRenderedPageBreak/>
              <w:t>—</w:t>
            </w:r>
          </w:p>
        </w:tc>
        <w:tc>
          <w:tcPr>
            <w:tcW w:w="0" w:type="auto"/>
            <w:shd w:val="clear" w:color="auto" w:fill="auto"/>
            <w:hideMark/>
          </w:tcPr>
          <w:p w14:paraId="7FF70C3D"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i disturbi gravi del sonno (</w:t>
            </w:r>
            <w:r w:rsidRPr="00272C44">
              <w:rPr>
                <w:rFonts w:ascii="inherit" w:eastAsia="Times New Roman" w:hAnsi="inherit" w:cs="Times New Roman"/>
                <w:i/>
                <w:iCs/>
                <w:sz w:val="24"/>
                <w:szCs w:val="24"/>
                <w:lang w:eastAsia="it-IT"/>
              </w:rPr>
              <w:t xml:space="preserve">high </w:t>
            </w:r>
            <w:proofErr w:type="spellStart"/>
            <w:r w:rsidRPr="00272C44">
              <w:rPr>
                <w:rFonts w:ascii="inherit" w:eastAsia="Times New Roman" w:hAnsi="inherit" w:cs="Times New Roman"/>
                <w:i/>
                <w:iCs/>
                <w:sz w:val="24"/>
                <w:szCs w:val="24"/>
                <w:lang w:eastAsia="it-IT"/>
              </w:rPr>
              <w:t>sleep</w:t>
            </w:r>
            <w:proofErr w:type="spellEnd"/>
            <w:r w:rsidRPr="00272C44">
              <w:rPr>
                <w:rFonts w:ascii="inherit" w:eastAsia="Times New Roman" w:hAnsi="inherit" w:cs="Times New Roman"/>
                <w:i/>
                <w:iCs/>
                <w:sz w:val="24"/>
                <w:szCs w:val="24"/>
                <w:lang w:eastAsia="it-IT"/>
              </w:rPr>
              <w:t xml:space="preserve"> </w:t>
            </w:r>
            <w:proofErr w:type="spellStart"/>
            <w:r w:rsidRPr="00272C44">
              <w:rPr>
                <w:rFonts w:ascii="inherit" w:eastAsia="Times New Roman" w:hAnsi="inherit" w:cs="Times New Roman"/>
                <w:i/>
                <w:iCs/>
                <w:sz w:val="24"/>
                <w:szCs w:val="24"/>
                <w:lang w:eastAsia="it-IT"/>
              </w:rPr>
              <w:t>disturbance</w:t>
            </w:r>
            <w:proofErr w:type="spellEnd"/>
            <w:r w:rsidRPr="00272C44">
              <w:rPr>
                <w:rFonts w:ascii="inherit" w:eastAsia="Times New Roman" w:hAnsi="inherit" w:cs="Times New Roman"/>
                <w:i/>
                <w:iCs/>
                <w:sz w:val="24"/>
                <w:szCs w:val="24"/>
                <w:lang w:eastAsia="it-IT"/>
              </w:rPr>
              <w:t>,</w:t>
            </w:r>
            <w:r w:rsidRPr="00272C44">
              <w:rPr>
                <w:rFonts w:ascii="inherit" w:eastAsia="Times New Roman" w:hAnsi="inherit" w:cs="Times New Roman"/>
                <w:sz w:val="24"/>
                <w:szCs w:val="24"/>
                <w:lang w:eastAsia="it-IT"/>
              </w:rPr>
              <w:t> HSD).</w:t>
            </w:r>
          </w:p>
        </w:tc>
      </w:tr>
    </w:tbl>
    <w:p w14:paraId="0B44249F" w14:textId="77777777" w:rsidR="00272C44" w:rsidRPr="00272C44" w:rsidRDefault="00272C44" w:rsidP="00272C44">
      <w:pPr>
        <w:shd w:val="clear" w:color="auto" w:fill="FFFFFF"/>
        <w:spacing w:before="240" w:after="120" w:line="240" w:lineRule="auto"/>
        <w:jc w:val="both"/>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2.   Calcolo degli effetti nocivi</w:t>
      </w:r>
    </w:p>
    <w:p w14:paraId="503D9578"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Gli effetti nocivi sono calcolati mediante una delle seguenti formule:</w:t>
      </w:r>
    </w:p>
    <w:tbl>
      <w:tblPr>
        <w:tblW w:w="5000" w:type="pct"/>
        <w:tblCellMar>
          <w:left w:w="0" w:type="dxa"/>
          <w:right w:w="0" w:type="dxa"/>
        </w:tblCellMar>
        <w:tblLook w:val="04A0" w:firstRow="1" w:lastRow="0" w:firstColumn="1" w:lastColumn="0" w:noHBand="0" w:noVBand="1"/>
      </w:tblPr>
      <w:tblGrid>
        <w:gridCol w:w="300"/>
        <w:gridCol w:w="9338"/>
      </w:tblGrid>
      <w:tr w:rsidR="00272C44" w:rsidRPr="00272C44" w14:paraId="2BD4CF16" w14:textId="77777777" w:rsidTr="00272C44">
        <w:tc>
          <w:tcPr>
            <w:tcW w:w="0" w:type="auto"/>
            <w:shd w:val="clear" w:color="auto" w:fill="auto"/>
            <w:hideMark/>
          </w:tcPr>
          <w:p w14:paraId="659BEECA"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2A249F30"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rischio relativo (</w:t>
            </w:r>
            <w:r w:rsidRPr="00272C44">
              <w:rPr>
                <w:rFonts w:ascii="inherit" w:eastAsia="Times New Roman" w:hAnsi="inherit" w:cs="Times New Roman"/>
                <w:i/>
                <w:iCs/>
                <w:sz w:val="24"/>
                <w:szCs w:val="24"/>
                <w:lang w:eastAsia="it-IT"/>
              </w:rPr>
              <w:t>relative risk,</w:t>
            </w:r>
            <w:r w:rsidRPr="00272C44">
              <w:rPr>
                <w:rFonts w:ascii="inherit" w:eastAsia="Times New Roman" w:hAnsi="inherit" w:cs="Times New Roman"/>
                <w:sz w:val="24"/>
                <w:szCs w:val="24"/>
                <w:lang w:eastAsia="it-IT"/>
              </w:rPr>
              <w:t> RR) dell’effetto nocivo, definito come segue:</w:t>
            </w:r>
          </w:p>
          <w:p w14:paraId="59FBCC2D" w14:textId="77777777" w:rsidR="00272C44" w:rsidRPr="00272C44" w:rsidRDefault="00272C44" w:rsidP="00272C44">
            <w:pPr>
              <w:spacing w:before="120" w:after="120" w:line="240" w:lineRule="auto"/>
              <w:jc w:val="center"/>
              <w:rPr>
                <w:rFonts w:ascii="inherit" w:eastAsia="Times New Roman" w:hAnsi="inherit" w:cs="Times New Roman"/>
                <w:sz w:val="24"/>
                <w:szCs w:val="24"/>
                <w:lang w:eastAsia="it-IT"/>
              </w:rPr>
            </w:pPr>
            <w:r w:rsidRPr="00272C44">
              <w:rPr>
                <w:rFonts w:ascii="inherit" w:eastAsia="Times New Roman" w:hAnsi="inherit" w:cs="Times New Roman"/>
                <w:noProof/>
                <w:sz w:val="24"/>
                <w:szCs w:val="24"/>
                <w:lang w:eastAsia="it-IT"/>
              </w:rPr>
              <w:drawing>
                <wp:inline distT="0" distB="0" distL="0" distR="0" wp14:anchorId="6745CB5D" wp14:editId="7B97A7DE">
                  <wp:extent cx="4724400" cy="657225"/>
                  <wp:effectExtent l="0" t="0" r="0" b="9525"/>
                  <wp:docPr id="3" name="Immagine 3"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4400" cy="657225"/>
                          </a:xfrm>
                          <a:prstGeom prst="rect">
                            <a:avLst/>
                          </a:prstGeom>
                          <a:noFill/>
                          <a:ln>
                            <a:noFill/>
                          </a:ln>
                        </pic:spPr>
                      </pic:pic>
                    </a:graphicData>
                  </a:graphic>
                </wp:inline>
              </w:drawing>
            </w:r>
          </w:p>
        </w:tc>
      </w:tr>
    </w:tbl>
    <w:p w14:paraId="1E1958AF"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294"/>
        <w:gridCol w:w="9344"/>
      </w:tblGrid>
      <w:tr w:rsidR="00272C44" w:rsidRPr="00272C44" w14:paraId="55A1D8DA" w14:textId="77777777" w:rsidTr="00272C44">
        <w:tc>
          <w:tcPr>
            <w:tcW w:w="0" w:type="auto"/>
            <w:shd w:val="clear" w:color="auto" w:fill="auto"/>
            <w:hideMark/>
          </w:tcPr>
          <w:p w14:paraId="4D6BF54F"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41AEB955"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rischio assoluto (</w:t>
            </w:r>
            <w:proofErr w:type="spellStart"/>
            <w:r w:rsidRPr="00272C44">
              <w:rPr>
                <w:rFonts w:ascii="inherit" w:eastAsia="Times New Roman" w:hAnsi="inherit" w:cs="Times New Roman"/>
                <w:i/>
                <w:iCs/>
                <w:sz w:val="24"/>
                <w:szCs w:val="24"/>
                <w:lang w:eastAsia="it-IT"/>
              </w:rPr>
              <w:t>absolute</w:t>
            </w:r>
            <w:proofErr w:type="spellEnd"/>
            <w:r w:rsidRPr="00272C44">
              <w:rPr>
                <w:rFonts w:ascii="inherit" w:eastAsia="Times New Roman" w:hAnsi="inherit" w:cs="Times New Roman"/>
                <w:i/>
                <w:iCs/>
                <w:sz w:val="24"/>
                <w:szCs w:val="24"/>
                <w:lang w:eastAsia="it-IT"/>
              </w:rPr>
              <w:t xml:space="preserve"> risk,</w:t>
            </w:r>
            <w:r w:rsidRPr="00272C44">
              <w:rPr>
                <w:rFonts w:ascii="inherit" w:eastAsia="Times New Roman" w:hAnsi="inherit" w:cs="Times New Roman"/>
                <w:sz w:val="24"/>
                <w:szCs w:val="24"/>
                <w:lang w:eastAsia="it-IT"/>
              </w:rPr>
              <w:t> AR) dell’effetto nocivo, definito come segue:</w:t>
            </w:r>
          </w:p>
          <w:p w14:paraId="6708BF5A" w14:textId="77777777" w:rsidR="00272C44" w:rsidRPr="00272C44" w:rsidRDefault="00272C44" w:rsidP="00272C44">
            <w:pPr>
              <w:spacing w:before="120" w:after="120" w:line="240" w:lineRule="auto"/>
              <w:jc w:val="center"/>
              <w:rPr>
                <w:rFonts w:ascii="inherit" w:eastAsia="Times New Roman" w:hAnsi="inherit" w:cs="Times New Roman"/>
                <w:sz w:val="24"/>
                <w:szCs w:val="24"/>
                <w:lang w:eastAsia="it-IT"/>
              </w:rPr>
            </w:pPr>
            <w:r w:rsidRPr="00272C44">
              <w:rPr>
                <w:rFonts w:ascii="inherit" w:eastAsia="Times New Roman" w:hAnsi="inherit" w:cs="Times New Roman"/>
                <w:noProof/>
                <w:sz w:val="24"/>
                <w:szCs w:val="24"/>
                <w:lang w:eastAsia="it-IT"/>
              </w:rPr>
              <w:drawing>
                <wp:inline distT="0" distB="0" distL="0" distR="0" wp14:anchorId="040FDDDF" wp14:editId="6FBF6EFA">
                  <wp:extent cx="4724400" cy="657225"/>
                  <wp:effectExtent l="0" t="0" r="0" b="9525"/>
                  <wp:docPr id="4" name="Immagine 4"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4400" cy="657225"/>
                          </a:xfrm>
                          <a:prstGeom prst="rect">
                            <a:avLst/>
                          </a:prstGeom>
                          <a:noFill/>
                          <a:ln>
                            <a:noFill/>
                          </a:ln>
                        </pic:spPr>
                      </pic:pic>
                    </a:graphicData>
                  </a:graphic>
                </wp:inline>
              </w:drawing>
            </w:r>
          </w:p>
        </w:tc>
      </w:tr>
    </w:tbl>
    <w:p w14:paraId="3D091862" w14:textId="77777777" w:rsidR="00272C44" w:rsidRPr="00272C44" w:rsidRDefault="00272C44" w:rsidP="00272C44">
      <w:pPr>
        <w:shd w:val="clear" w:color="auto" w:fill="FFFFFF"/>
        <w:spacing w:before="240" w:after="120" w:line="240" w:lineRule="auto"/>
        <w:jc w:val="both"/>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2.1   Cardiopatia ischemica</w:t>
      </w:r>
    </w:p>
    <w:p w14:paraId="20F944BD"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Nel calcolare il rischio relativo per quanto riguarda l’effetto nocivo di cardiopatia ischemica, e con riferimento al tasso di incidenza (</w:t>
      </w:r>
      <w:r w:rsidRPr="00272C44">
        <w:rPr>
          <w:rFonts w:ascii="inherit" w:eastAsia="Times New Roman" w:hAnsi="inherit" w:cs="Times New Roman"/>
          <w:i/>
          <w:iCs/>
          <w:color w:val="000000"/>
          <w:sz w:val="24"/>
          <w:szCs w:val="24"/>
          <w:lang w:eastAsia="it-IT"/>
        </w:rPr>
        <w:t>i</w:t>
      </w:r>
      <w:r w:rsidRPr="00272C44">
        <w:rPr>
          <w:rFonts w:ascii="inherit" w:eastAsia="Times New Roman" w:hAnsi="inherit" w:cs="Times New Roman"/>
          <w:color w:val="000000"/>
          <w:sz w:val="24"/>
          <w:szCs w:val="24"/>
          <w:lang w:eastAsia="it-IT"/>
        </w:rPr>
        <w:t>), si utilizzano le seguenti relazioni dose-effetto:</w:t>
      </w:r>
    </w:p>
    <w:p w14:paraId="15CED809" w14:textId="77777777" w:rsidR="00272C44" w:rsidRPr="00272C44" w:rsidRDefault="00272C44" w:rsidP="00272C44">
      <w:pPr>
        <w:shd w:val="clear" w:color="auto" w:fill="FFFFFF"/>
        <w:spacing w:before="120" w:after="120" w:line="240" w:lineRule="auto"/>
        <w:jc w:val="center"/>
        <w:rPr>
          <w:rFonts w:ascii="inherit" w:eastAsia="Times New Roman" w:hAnsi="inherit" w:cs="Times New Roman"/>
          <w:color w:val="000000"/>
          <w:sz w:val="24"/>
          <w:szCs w:val="24"/>
          <w:lang w:eastAsia="it-IT"/>
        </w:rPr>
      </w:pPr>
      <w:r w:rsidRPr="00272C44">
        <w:rPr>
          <w:rFonts w:ascii="inherit" w:eastAsia="Times New Roman" w:hAnsi="inherit" w:cs="Times New Roman"/>
          <w:noProof/>
          <w:color w:val="000000"/>
          <w:sz w:val="24"/>
          <w:szCs w:val="24"/>
          <w:lang w:eastAsia="it-IT"/>
        </w:rPr>
        <w:drawing>
          <wp:inline distT="0" distB="0" distL="0" distR="0" wp14:anchorId="1E116B27" wp14:editId="1D48743D">
            <wp:extent cx="5257800" cy="800100"/>
            <wp:effectExtent l="0" t="0" r="0" b="0"/>
            <wp:docPr id="5" name="Immagine 5"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7800" cy="800100"/>
                    </a:xfrm>
                    <a:prstGeom prst="rect">
                      <a:avLst/>
                    </a:prstGeom>
                    <a:noFill/>
                    <a:ln>
                      <a:noFill/>
                    </a:ln>
                  </pic:spPr>
                </pic:pic>
              </a:graphicData>
            </a:graphic>
          </wp:inline>
        </w:drawing>
      </w:r>
    </w:p>
    <w:p w14:paraId="3B428EC9"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per il rumore del traffico veicolare.</w:t>
      </w:r>
    </w:p>
    <w:p w14:paraId="036C93BC" w14:textId="77777777" w:rsidR="00272C44" w:rsidRPr="00272C44" w:rsidRDefault="00272C44" w:rsidP="00272C44">
      <w:pPr>
        <w:shd w:val="clear" w:color="auto" w:fill="FFFFFF"/>
        <w:spacing w:before="240" w:after="120" w:line="240" w:lineRule="auto"/>
        <w:jc w:val="both"/>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2.2   Fastidio forte</w:t>
      </w:r>
    </w:p>
    <w:p w14:paraId="776C372F"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Nel calcolare il rischio assoluto per quanto riguarda l’effetto nocivo di fastidio forte si utilizzano le seguenti relazioni dose-effetto:</w:t>
      </w:r>
    </w:p>
    <w:tbl>
      <w:tblPr>
        <w:tblW w:w="5000" w:type="pct"/>
        <w:tblCellMar>
          <w:left w:w="0" w:type="dxa"/>
          <w:right w:w="0" w:type="dxa"/>
        </w:tblCellMar>
        <w:tblLook w:val="04A0" w:firstRow="1" w:lastRow="0" w:firstColumn="1" w:lastColumn="0" w:noHBand="0" w:noVBand="1"/>
      </w:tblPr>
      <w:tblGrid>
        <w:gridCol w:w="9638"/>
      </w:tblGrid>
      <w:tr w:rsidR="00272C44" w:rsidRPr="00272C44" w14:paraId="31CBE309" w14:textId="77777777" w:rsidTr="00272C44">
        <w:tc>
          <w:tcPr>
            <w:tcW w:w="0" w:type="auto"/>
            <w:shd w:val="clear" w:color="auto" w:fill="auto"/>
            <w:hideMark/>
          </w:tcPr>
          <w:p w14:paraId="0D8E0681" w14:textId="77777777" w:rsidR="00272C44" w:rsidRPr="00272C44" w:rsidRDefault="00272C44" w:rsidP="00272C44">
            <w:pPr>
              <w:spacing w:before="120" w:after="120" w:line="240" w:lineRule="auto"/>
              <w:jc w:val="center"/>
              <w:rPr>
                <w:rFonts w:ascii="inherit" w:eastAsia="Times New Roman" w:hAnsi="inherit" w:cs="Times New Roman"/>
                <w:sz w:val="24"/>
                <w:szCs w:val="24"/>
                <w:lang w:eastAsia="it-IT"/>
              </w:rPr>
            </w:pPr>
            <w:r w:rsidRPr="00272C44">
              <w:rPr>
                <w:rFonts w:ascii="inherit" w:eastAsia="Times New Roman" w:hAnsi="inherit" w:cs="Times New Roman"/>
                <w:noProof/>
                <w:sz w:val="24"/>
                <w:szCs w:val="24"/>
                <w:lang w:eastAsia="it-IT"/>
              </w:rPr>
              <w:drawing>
                <wp:inline distT="0" distB="0" distL="0" distR="0" wp14:anchorId="7F9FFD0E" wp14:editId="37BC0B6E">
                  <wp:extent cx="4943475" cy="314325"/>
                  <wp:effectExtent l="0" t="0" r="9525" b="9525"/>
                  <wp:docPr id="6" name="Immagine 6"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3475" cy="314325"/>
                          </a:xfrm>
                          <a:prstGeom prst="rect">
                            <a:avLst/>
                          </a:prstGeom>
                          <a:noFill/>
                          <a:ln>
                            <a:noFill/>
                          </a:ln>
                        </pic:spPr>
                      </pic:pic>
                    </a:graphicData>
                  </a:graphic>
                </wp:inline>
              </w:drawing>
            </w:r>
          </w:p>
          <w:p w14:paraId="1C9C433B"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per il rumore del traffico veicolare;</w:t>
            </w:r>
          </w:p>
        </w:tc>
      </w:tr>
    </w:tbl>
    <w:p w14:paraId="75D19760"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9638"/>
      </w:tblGrid>
      <w:tr w:rsidR="00272C44" w:rsidRPr="00272C44" w14:paraId="3CB91B75" w14:textId="77777777" w:rsidTr="00272C44">
        <w:tc>
          <w:tcPr>
            <w:tcW w:w="0" w:type="auto"/>
            <w:shd w:val="clear" w:color="auto" w:fill="auto"/>
            <w:hideMark/>
          </w:tcPr>
          <w:p w14:paraId="04A9262E" w14:textId="77777777" w:rsidR="00272C44" w:rsidRPr="00272C44" w:rsidRDefault="00272C44" w:rsidP="00272C44">
            <w:pPr>
              <w:spacing w:before="120" w:after="120" w:line="240" w:lineRule="auto"/>
              <w:jc w:val="center"/>
              <w:rPr>
                <w:rFonts w:ascii="inherit" w:eastAsia="Times New Roman" w:hAnsi="inherit" w:cs="Times New Roman"/>
                <w:sz w:val="24"/>
                <w:szCs w:val="24"/>
                <w:lang w:eastAsia="it-IT"/>
              </w:rPr>
            </w:pPr>
            <w:r w:rsidRPr="00272C44">
              <w:rPr>
                <w:rFonts w:ascii="inherit" w:eastAsia="Times New Roman" w:hAnsi="inherit" w:cs="Times New Roman"/>
                <w:noProof/>
                <w:sz w:val="24"/>
                <w:szCs w:val="24"/>
                <w:lang w:eastAsia="it-IT"/>
              </w:rPr>
              <w:drawing>
                <wp:inline distT="0" distB="0" distL="0" distR="0" wp14:anchorId="440F52DA" wp14:editId="1AEA5182">
                  <wp:extent cx="4972050" cy="314325"/>
                  <wp:effectExtent l="0" t="0" r="0" b="9525"/>
                  <wp:docPr id="7" name="Immagine 7" descr="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2050" cy="314325"/>
                          </a:xfrm>
                          <a:prstGeom prst="rect">
                            <a:avLst/>
                          </a:prstGeom>
                          <a:noFill/>
                          <a:ln>
                            <a:noFill/>
                          </a:ln>
                        </pic:spPr>
                      </pic:pic>
                    </a:graphicData>
                  </a:graphic>
                </wp:inline>
              </w:drawing>
            </w:r>
          </w:p>
          <w:p w14:paraId="682A6031"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per il rumore del traffico ferroviario;</w:t>
            </w:r>
          </w:p>
        </w:tc>
      </w:tr>
    </w:tbl>
    <w:p w14:paraId="245F214F"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9638"/>
      </w:tblGrid>
      <w:tr w:rsidR="00272C44" w:rsidRPr="00272C44" w14:paraId="7452E700" w14:textId="77777777" w:rsidTr="00272C44">
        <w:tc>
          <w:tcPr>
            <w:tcW w:w="0" w:type="auto"/>
            <w:shd w:val="clear" w:color="auto" w:fill="auto"/>
            <w:hideMark/>
          </w:tcPr>
          <w:p w14:paraId="708DAA50" w14:textId="77777777" w:rsidR="00272C44" w:rsidRPr="00272C44" w:rsidRDefault="00272C44" w:rsidP="00272C44">
            <w:pPr>
              <w:spacing w:before="120" w:after="120" w:line="240" w:lineRule="auto"/>
              <w:jc w:val="center"/>
              <w:rPr>
                <w:rFonts w:ascii="inherit" w:eastAsia="Times New Roman" w:hAnsi="inherit" w:cs="Times New Roman"/>
                <w:sz w:val="24"/>
                <w:szCs w:val="24"/>
                <w:lang w:eastAsia="it-IT"/>
              </w:rPr>
            </w:pPr>
            <w:r w:rsidRPr="00272C44">
              <w:rPr>
                <w:rFonts w:ascii="inherit" w:eastAsia="Times New Roman" w:hAnsi="inherit" w:cs="Times New Roman"/>
                <w:noProof/>
                <w:sz w:val="24"/>
                <w:szCs w:val="24"/>
                <w:lang w:eastAsia="it-IT"/>
              </w:rPr>
              <w:drawing>
                <wp:inline distT="0" distB="0" distL="0" distR="0" wp14:anchorId="2A45B9AD" wp14:editId="4FF0E655">
                  <wp:extent cx="4962525" cy="314325"/>
                  <wp:effectExtent l="0" t="0" r="9525" b="9525"/>
                  <wp:docPr id="8" name="Immagine 8" descr="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62525" cy="314325"/>
                          </a:xfrm>
                          <a:prstGeom prst="rect">
                            <a:avLst/>
                          </a:prstGeom>
                          <a:noFill/>
                          <a:ln>
                            <a:noFill/>
                          </a:ln>
                        </pic:spPr>
                      </pic:pic>
                    </a:graphicData>
                  </a:graphic>
                </wp:inline>
              </w:drawing>
            </w:r>
          </w:p>
          <w:p w14:paraId="05CBBE5F"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per il rumore del traffico degli aeromobili.</w:t>
            </w:r>
          </w:p>
        </w:tc>
      </w:tr>
    </w:tbl>
    <w:p w14:paraId="2B74D673" w14:textId="77777777" w:rsidR="00272C44" w:rsidRPr="00272C44" w:rsidRDefault="00272C44" w:rsidP="00272C44">
      <w:pPr>
        <w:shd w:val="clear" w:color="auto" w:fill="FFFFFF"/>
        <w:spacing w:before="240" w:after="120" w:line="240" w:lineRule="auto"/>
        <w:jc w:val="both"/>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2.3   Disturbi gravi del sonno</w:t>
      </w:r>
    </w:p>
    <w:p w14:paraId="3C53BF89"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Nel calcolare il rischio assoluto per quanto riguarda l’effetto nocivo di disturbi gravi del sonno si utilizzano le seguenti relazioni dose-effetto:</w:t>
      </w:r>
    </w:p>
    <w:tbl>
      <w:tblPr>
        <w:tblW w:w="5000" w:type="pct"/>
        <w:tblCellMar>
          <w:left w:w="0" w:type="dxa"/>
          <w:right w:w="0" w:type="dxa"/>
        </w:tblCellMar>
        <w:tblLook w:val="04A0" w:firstRow="1" w:lastRow="0" w:firstColumn="1" w:lastColumn="0" w:noHBand="0" w:noVBand="1"/>
      </w:tblPr>
      <w:tblGrid>
        <w:gridCol w:w="9638"/>
      </w:tblGrid>
      <w:tr w:rsidR="00272C44" w:rsidRPr="00272C44" w14:paraId="6079D76B" w14:textId="77777777" w:rsidTr="00272C44">
        <w:tc>
          <w:tcPr>
            <w:tcW w:w="0" w:type="auto"/>
            <w:shd w:val="clear" w:color="auto" w:fill="auto"/>
            <w:hideMark/>
          </w:tcPr>
          <w:p w14:paraId="73E7C8BA" w14:textId="77777777" w:rsidR="00272C44" w:rsidRPr="00272C44" w:rsidRDefault="00272C44" w:rsidP="00272C44">
            <w:pPr>
              <w:spacing w:before="120" w:after="120" w:line="240" w:lineRule="auto"/>
              <w:jc w:val="center"/>
              <w:rPr>
                <w:rFonts w:ascii="inherit" w:eastAsia="Times New Roman" w:hAnsi="inherit" w:cs="Times New Roman"/>
                <w:sz w:val="24"/>
                <w:szCs w:val="24"/>
                <w:lang w:eastAsia="it-IT"/>
              </w:rPr>
            </w:pPr>
            <w:r w:rsidRPr="00272C44">
              <w:rPr>
                <w:rFonts w:ascii="inherit" w:eastAsia="Times New Roman" w:hAnsi="inherit" w:cs="Times New Roman"/>
                <w:noProof/>
                <w:sz w:val="24"/>
                <w:szCs w:val="24"/>
                <w:lang w:eastAsia="it-IT"/>
              </w:rPr>
              <w:drawing>
                <wp:inline distT="0" distB="0" distL="0" distR="0" wp14:anchorId="67C12577" wp14:editId="77C73738">
                  <wp:extent cx="5210175" cy="314325"/>
                  <wp:effectExtent l="0" t="0" r="9525" b="9525"/>
                  <wp:docPr id="9" name="Immagine 9"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0175" cy="314325"/>
                          </a:xfrm>
                          <a:prstGeom prst="rect">
                            <a:avLst/>
                          </a:prstGeom>
                          <a:noFill/>
                          <a:ln>
                            <a:noFill/>
                          </a:ln>
                        </pic:spPr>
                      </pic:pic>
                    </a:graphicData>
                  </a:graphic>
                </wp:inline>
              </w:drawing>
            </w:r>
          </w:p>
          <w:p w14:paraId="1E0C7F3C"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per il rumore del traffico veicolare;</w:t>
            </w:r>
          </w:p>
        </w:tc>
      </w:tr>
    </w:tbl>
    <w:p w14:paraId="3D4A0DAC"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9638"/>
      </w:tblGrid>
      <w:tr w:rsidR="00272C44" w:rsidRPr="00272C44" w14:paraId="3A561B58" w14:textId="77777777" w:rsidTr="00272C44">
        <w:tc>
          <w:tcPr>
            <w:tcW w:w="0" w:type="auto"/>
            <w:shd w:val="clear" w:color="auto" w:fill="auto"/>
            <w:hideMark/>
          </w:tcPr>
          <w:p w14:paraId="5CFB453E" w14:textId="77777777" w:rsidR="00272C44" w:rsidRPr="00272C44" w:rsidRDefault="00272C44" w:rsidP="00272C44">
            <w:pPr>
              <w:spacing w:before="120" w:after="120" w:line="240" w:lineRule="auto"/>
              <w:jc w:val="center"/>
              <w:rPr>
                <w:rFonts w:ascii="inherit" w:eastAsia="Times New Roman" w:hAnsi="inherit" w:cs="Times New Roman"/>
                <w:sz w:val="24"/>
                <w:szCs w:val="24"/>
                <w:lang w:eastAsia="it-IT"/>
              </w:rPr>
            </w:pPr>
            <w:r w:rsidRPr="00272C44">
              <w:rPr>
                <w:rFonts w:ascii="inherit" w:eastAsia="Times New Roman" w:hAnsi="inherit" w:cs="Times New Roman"/>
                <w:noProof/>
                <w:sz w:val="24"/>
                <w:szCs w:val="24"/>
                <w:lang w:eastAsia="it-IT"/>
              </w:rPr>
              <w:lastRenderedPageBreak/>
              <w:drawing>
                <wp:inline distT="0" distB="0" distL="0" distR="0" wp14:anchorId="309E5C40" wp14:editId="4645D54C">
                  <wp:extent cx="5153025" cy="314325"/>
                  <wp:effectExtent l="0" t="0" r="9525" b="9525"/>
                  <wp:docPr id="10" name="Immagine 10" descr="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53025" cy="314325"/>
                          </a:xfrm>
                          <a:prstGeom prst="rect">
                            <a:avLst/>
                          </a:prstGeom>
                          <a:noFill/>
                          <a:ln>
                            <a:noFill/>
                          </a:ln>
                        </pic:spPr>
                      </pic:pic>
                    </a:graphicData>
                  </a:graphic>
                </wp:inline>
              </w:drawing>
            </w:r>
          </w:p>
          <w:p w14:paraId="2E9C397C"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per il rumore del traffico ferroviario;</w:t>
            </w:r>
          </w:p>
        </w:tc>
      </w:tr>
    </w:tbl>
    <w:p w14:paraId="1463DBE2"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9638"/>
      </w:tblGrid>
      <w:tr w:rsidR="00272C44" w:rsidRPr="00272C44" w14:paraId="2B5807F5" w14:textId="77777777" w:rsidTr="00272C44">
        <w:tc>
          <w:tcPr>
            <w:tcW w:w="0" w:type="auto"/>
            <w:shd w:val="clear" w:color="auto" w:fill="auto"/>
            <w:hideMark/>
          </w:tcPr>
          <w:p w14:paraId="55F72991" w14:textId="77777777" w:rsidR="00272C44" w:rsidRPr="00272C44" w:rsidRDefault="00272C44" w:rsidP="00272C44">
            <w:pPr>
              <w:spacing w:before="120" w:after="120" w:line="240" w:lineRule="auto"/>
              <w:jc w:val="center"/>
              <w:rPr>
                <w:rFonts w:ascii="inherit" w:eastAsia="Times New Roman" w:hAnsi="inherit" w:cs="Times New Roman"/>
                <w:sz w:val="24"/>
                <w:szCs w:val="24"/>
                <w:lang w:eastAsia="it-IT"/>
              </w:rPr>
            </w:pPr>
            <w:r w:rsidRPr="00272C44">
              <w:rPr>
                <w:rFonts w:ascii="inherit" w:eastAsia="Times New Roman" w:hAnsi="inherit" w:cs="Times New Roman"/>
                <w:noProof/>
                <w:sz w:val="24"/>
                <w:szCs w:val="24"/>
                <w:lang w:eastAsia="it-IT"/>
              </w:rPr>
              <w:drawing>
                <wp:inline distT="0" distB="0" distL="0" distR="0" wp14:anchorId="00149A7B" wp14:editId="31771A4E">
                  <wp:extent cx="5114925" cy="314325"/>
                  <wp:effectExtent l="0" t="0" r="9525" b="9525"/>
                  <wp:docPr id="11" name="Immagine 11" descr="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14925" cy="314325"/>
                          </a:xfrm>
                          <a:prstGeom prst="rect">
                            <a:avLst/>
                          </a:prstGeom>
                          <a:noFill/>
                          <a:ln>
                            <a:noFill/>
                          </a:ln>
                        </pic:spPr>
                      </pic:pic>
                    </a:graphicData>
                  </a:graphic>
                </wp:inline>
              </w:drawing>
            </w:r>
          </w:p>
          <w:p w14:paraId="06028FEC"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per il rumore del traffico degli aeromobili.</w:t>
            </w:r>
          </w:p>
        </w:tc>
      </w:tr>
    </w:tbl>
    <w:p w14:paraId="6B3616D2" w14:textId="77777777" w:rsidR="00272C44" w:rsidRPr="00272C44" w:rsidRDefault="00272C44" w:rsidP="00272C44">
      <w:pPr>
        <w:shd w:val="clear" w:color="auto" w:fill="FFFFFF"/>
        <w:spacing w:before="240" w:after="120" w:line="240" w:lineRule="auto"/>
        <w:jc w:val="both"/>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3.   Determinazione degli effetti nocivi</w:t>
      </w:r>
    </w:p>
    <w:p w14:paraId="151667CF"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3.1   L’esposizione della popolazione è valutata in modo indipendente per ogni sorgente di rumore e per ogni effetto nocivo. Quando gli stessi individui sono esposti contemporaneamente a più sorgenti di rumore, gli effetti nocivi non devono, in generale, essere cumulati; possono però essere confrontati per determinare l’importanza relativa di ciascun rumore.</w:t>
      </w:r>
    </w:p>
    <w:p w14:paraId="17992ADF" w14:textId="77777777" w:rsidR="00272C44" w:rsidRPr="00272C44" w:rsidRDefault="00272C44" w:rsidP="00272C44">
      <w:pPr>
        <w:shd w:val="clear" w:color="auto" w:fill="FFFFFF"/>
        <w:spacing w:before="240" w:after="120" w:line="240" w:lineRule="auto"/>
        <w:jc w:val="both"/>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3.2   Determinazione per la cardiopatia ischemica</w:t>
      </w:r>
    </w:p>
    <w:p w14:paraId="6A0E691A"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3.2.1.   </w:t>
      </w:r>
      <w:r w:rsidRPr="00272C44">
        <w:rPr>
          <w:rFonts w:ascii="inherit" w:eastAsia="Times New Roman" w:hAnsi="inherit" w:cs="Times New Roman"/>
          <w:b/>
          <w:bCs/>
          <w:color w:val="000000"/>
          <w:sz w:val="24"/>
          <w:szCs w:val="24"/>
          <w:lang w:eastAsia="it-IT"/>
        </w:rPr>
        <w:t>Per quanto riguarda la cardiopatia ischemica nel caso del rumore del traffico ferroviario e degli aeromobili</w:t>
      </w:r>
      <w:r w:rsidRPr="00272C44">
        <w:rPr>
          <w:rFonts w:ascii="inherit" w:eastAsia="Times New Roman" w:hAnsi="inherit" w:cs="Times New Roman"/>
          <w:color w:val="000000"/>
          <w:sz w:val="24"/>
          <w:szCs w:val="24"/>
          <w:lang w:eastAsia="it-IT"/>
        </w:rPr>
        <w:t xml:space="preserve">, si stima che la popolazione esposta a livelli </w:t>
      </w:r>
      <w:proofErr w:type="spellStart"/>
      <w:r w:rsidRPr="00272C44">
        <w:rPr>
          <w:rFonts w:ascii="inherit" w:eastAsia="Times New Roman" w:hAnsi="inherit" w:cs="Times New Roman"/>
          <w:color w:val="000000"/>
          <w:sz w:val="24"/>
          <w:szCs w:val="24"/>
          <w:lang w:eastAsia="it-IT"/>
        </w:rPr>
        <w:t>L</w:t>
      </w:r>
      <w:r w:rsidRPr="00272C44">
        <w:rPr>
          <w:rFonts w:ascii="inherit" w:eastAsia="Times New Roman" w:hAnsi="inherit" w:cs="Times New Roman"/>
          <w:color w:val="000000"/>
          <w:sz w:val="17"/>
          <w:szCs w:val="17"/>
          <w:vertAlign w:val="subscript"/>
          <w:lang w:eastAsia="it-IT"/>
        </w:rPr>
        <w:t>den</w:t>
      </w:r>
      <w:proofErr w:type="spellEnd"/>
      <w:r w:rsidRPr="00272C44">
        <w:rPr>
          <w:rFonts w:ascii="inherit" w:eastAsia="Times New Roman" w:hAnsi="inherit" w:cs="Times New Roman"/>
          <w:color w:val="000000"/>
          <w:sz w:val="24"/>
          <w:szCs w:val="24"/>
          <w:lang w:eastAsia="it-IT"/>
        </w:rPr>
        <w:t> superiori a quelli adeguati sia esposta a un rischio maggiore di cardiopatia ischemica; non è tuttavia possibile calcolare il numero preciso </w:t>
      </w:r>
      <w:r w:rsidRPr="00272C44">
        <w:rPr>
          <w:rFonts w:ascii="inherit" w:eastAsia="Times New Roman" w:hAnsi="inherit" w:cs="Times New Roman"/>
          <w:i/>
          <w:iCs/>
          <w:color w:val="000000"/>
          <w:sz w:val="24"/>
          <w:szCs w:val="24"/>
          <w:lang w:eastAsia="it-IT"/>
        </w:rPr>
        <w:t>N</w:t>
      </w:r>
      <w:r w:rsidRPr="00272C44">
        <w:rPr>
          <w:rFonts w:ascii="inherit" w:eastAsia="Times New Roman" w:hAnsi="inherit" w:cs="Times New Roman"/>
          <w:color w:val="000000"/>
          <w:sz w:val="24"/>
          <w:szCs w:val="24"/>
          <w:lang w:eastAsia="it-IT"/>
        </w:rPr>
        <w:t> di casi.</w:t>
      </w:r>
    </w:p>
    <w:p w14:paraId="45E2FE36"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3.2.2.   </w:t>
      </w:r>
      <w:r w:rsidRPr="00272C44">
        <w:rPr>
          <w:rFonts w:ascii="inherit" w:eastAsia="Times New Roman" w:hAnsi="inherit" w:cs="Times New Roman"/>
          <w:b/>
          <w:bCs/>
          <w:color w:val="000000"/>
          <w:sz w:val="24"/>
          <w:szCs w:val="24"/>
          <w:lang w:eastAsia="it-IT"/>
        </w:rPr>
        <w:t>Per quanto riguarda la cardiopatia ischemica nel caso del rumore del traffico veicolare</w:t>
      </w:r>
      <w:r w:rsidRPr="00272C44">
        <w:rPr>
          <w:rFonts w:ascii="inherit" w:eastAsia="Times New Roman" w:hAnsi="inherit" w:cs="Times New Roman"/>
          <w:color w:val="000000"/>
          <w:sz w:val="24"/>
          <w:szCs w:val="24"/>
          <w:lang w:eastAsia="it-IT"/>
        </w:rPr>
        <w:t>, la proporzione dei casi – nella popolazione esposta a un rischio relativo – in cui lo specifico effetto nocivo è dovuto al rumore ambientale si calcola come segue, per la sorgente di rumore </w:t>
      </w:r>
      <w:r w:rsidRPr="00272C44">
        <w:rPr>
          <w:rFonts w:ascii="inherit" w:eastAsia="Times New Roman" w:hAnsi="inherit" w:cs="Times New Roman"/>
          <w:i/>
          <w:iCs/>
          <w:color w:val="000000"/>
          <w:sz w:val="24"/>
          <w:szCs w:val="24"/>
          <w:lang w:eastAsia="it-IT"/>
        </w:rPr>
        <w:t>x</w:t>
      </w:r>
      <w:r w:rsidRPr="00272C44">
        <w:rPr>
          <w:rFonts w:ascii="inherit" w:eastAsia="Times New Roman" w:hAnsi="inherit" w:cs="Times New Roman"/>
          <w:color w:val="000000"/>
          <w:sz w:val="24"/>
          <w:szCs w:val="24"/>
          <w:lang w:eastAsia="it-IT"/>
        </w:rPr>
        <w:t> (traffico veicolare), l’effetto nocivo </w:t>
      </w:r>
      <w:r w:rsidRPr="00272C44">
        <w:rPr>
          <w:rFonts w:ascii="inherit" w:eastAsia="Times New Roman" w:hAnsi="inherit" w:cs="Times New Roman"/>
          <w:i/>
          <w:iCs/>
          <w:color w:val="000000"/>
          <w:sz w:val="24"/>
          <w:szCs w:val="24"/>
          <w:lang w:eastAsia="it-IT"/>
        </w:rPr>
        <w:t>y</w:t>
      </w:r>
      <w:r w:rsidRPr="00272C44">
        <w:rPr>
          <w:rFonts w:ascii="inherit" w:eastAsia="Times New Roman" w:hAnsi="inherit" w:cs="Times New Roman"/>
          <w:color w:val="000000"/>
          <w:sz w:val="24"/>
          <w:szCs w:val="24"/>
          <w:lang w:eastAsia="it-IT"/>
        </w:rPr>
        <w:t> (cardiopatia ischemica) e l’incidenza </w:t>
      </w:r>
      <w:r w:rsidRPr="00272C44">
        <w:rPr>
          <w:rFonts w:ascii="inherit" w:eastAsia="Times New Roman" w:hAnsi="inherit" w:cs="Times New Roman"/>
          <w:i/>
          <w:iCs/>
          <w:color w:val="000000"/>
          <w:sz w:val="24"/>
          <w:szCs w:val="24"/>
          <w:lang w:eastAsia="it-IT"/>
        </w:rPr>
        <w:t>i</w:t>
      </w:r>
      <w:r w:rsidRPr="00272C44">
        <w:rPr>
          <w:rFonts w:ascii="inherit" w:eastAsia="Times New Roman" w:hAnsi="inherit" w:cs="Times New Roman"/>
          <w:color w:val="000000"/>
          <w:sz w:val="24"/>
          <w:szCs w:val="24"/>
          <w:lang w:eastAsia="it-IT"/>
        </w:rPr>
        <w:t>:</w:t>
      </w:r>
    </w:p>
    <w:p w14:paraId="303F2972" w14:textId="77777777" w:rsidR="00272C44" w:rsidRPr="00272C44" w:rsidRDefault="00272C44" w:rsidP="00272C44">
      <w:pPr>
        <w:shd w:val="clear" w:color="auto" w:fill="FFFFFF"/>
        <w:spacing w:before="120" w:after="120" w:line="240" w:lineRule="auto"/>
        <w:jc w:val="center"/>
        <w:rPr>
          <w:rFonts w:ascii="inherit" w:eastAsia="Times New Roman" w:hAnsi="inherit" w:cs="Times New Roman"/>
          <w:color w:val="000000"/>
          <w:sz w:val="24"/>
          <w:szCs w:val="24"/>
          <w:lang w:eastAsia="it-IT"/>
        </w:rPr>
      </w:pPr>
      <w:r w:rsidRPr="00272C44">
        <w:rPr>
          <w:rFonts w:ascii="inherit" w:eastAsia="Times New Roman" w:hAnsi="inherit" w:cs="Times New Roman"/>
          <w:noProof/>
          <w:color w:val="000000"/>
          <w:sz w:val="24"/>
          <w:szCs w:val="24"/>
          <w:lang w:eastAsia="it-IT"/>
        </w:rPr>
        <w:drawing>
          <wp:inline distT="0" distB="0" distL="0" distR="0" wp14:anchorId="4138EFF7" wp14:editId="405A9EBD">
            <wp:extent cx="2743200" cy="333375"/>
            <wp:effectExtent l="0" t="0" r="0" b="9525"/>
            <wp:docPr id="12" name="Immagine 12"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3200" cy="333375"/>
                    </a:xfrm>
                    <a:prstGeom prst="rect">
                      <a:avLst/>
                    </a:prstGeom>
                    <a:noFill/>
                    <a:ln>
                      <a:noFill/>
                    </a:ln>
                  </pic:spPr>
                </pic:pic>
              </a:graphicData>
            </a:graphic>
          </wp:inline>
        </w:drawing>
      </w:r>
    </w:p>
    <w:p w14:paraId="0225CD5D"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dove:</w:t>
      </w:r>
    </w:p>
    <w:tbl>
      <w:tblPr>
        <w:tblW w:w="5000" w:type="pct"/>
        <w:tblCellMar>
          <w:left w:w="0" w:type="dxa"/>
          <w:right w:w="0" w:type="dxa"/>
        </w:tblCellMar>
        <w:tblLook w:val="04A0" w:firstRow="1" w:lastRow="0" w:firstColumn="1" w:lastColumn="0" w:noHBand="0" w:noVBand="1"/>
      </w:tblPr>
      <w:tblGrid>
        <w:gridCol w:w="445"/>
        <w:gridCol w:w="9193"/>
      </w:tblGrid>
      <w:tr w:rsidR="00272C44" w:rsidRPr="00272C44" w14:paraId="3CE36D38" w14:textId="77777777" w:rsidTr="00272C44">
        <w:tc>
          <w:tcPr>
            <w:tcW w:w="0" w:type="auto"/>
            <w:shd w:val="clear" w:color="auto" w:fill="auto"/>
            <w:hideMark/>
          </w:tcPr>
          <w:p w14:paraId="7F441F2E"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736D22F8"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proofErr w:type="spellStart"/>
            <w:proofErr w:type="gramStart"/>
            <w:r w:rsidRPr="00272C44">
              <w:rPr>
                <w:rFonts w:ascii="inherit" w:eastAsia="Times New Roman" w:hAnsi="inherit" w:cs="Times New Roman"/>
                <w:i/>
                <w:iCs/>
                <w:sz w:val="24"/>
                <w:szCs w:val="24"/>
                <w:lang w:eastAsia="it-IT"/>
              </w:rPr>
              <w:t>PAF</w:t>
            </w:r>
            <w:r w:rsidRPr="00272C44">
              <w:rPr>
                <w:rFonts w:ascii="inherit" w:eastAsia="Times New Roman" w:hAnsi="inherit" w:cs="Times New Roman"/>
                <w:i/>
                <w:iCs/>
                <w:sz w:val="17"/>
                <w:szCs w:val="17"/>
                <w:vertAlign w:val="subscript"/>
                <w:lang w:eastAsia="it-IT"/>
              </w:rPr>
              <w:t>x,y</w:t>
            </w:r>
            <w:proofErr w:type="spellEnd"/>
            <w:proofErr w:type="gramEnd"/>
            <w:r w:rsidRPr="00272C44">
              <w:rPr>
                <w:rFonts w:ascii="inherit" w:eastAsia="Times New Roman" w:hAnsi="inherit" w:cs="Times New Roman"/>
                <w:i/>
                <w:iCs/>
                <w:sz w:val="24"/>
                <w:szCs w:val="24"/>
                <w:lang w:eastAsia="it-IT"/>
              </w:rPr>
              <w:t> </w:t>
            </w:r>
            <w:r w:rsidRPr="00272C44">
              <w:rPr>
                <w:rFonts w:ascii="inherit" w:eastAsia="Times New Roman" w:hAnsi="inherit" w:cs="Times New Roman"/>
                <w:sz w:val="24"/>
                <w:szCs w:val="24"/>
                <w:lang w:eastAsia="it-IT"/>
              </w:rPr>
              <w:t>è la frazione attribuibile nella popolazione;</w:t>
            </w:r>
          </w:p>
        </w:tc>
      </w:tr>
    </w:tbl>
    <w:p w14:paraId="7BE1D12F"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240"/>
        <w:gridCol w:w="9398"/>
      </w:tblGrid>
      <w:tr w:rsidR="00272C44" w:rsidRPr="00272C44" w14:paraId="399CD70A" w14:textId="77777777" w:rsidTr="00272C44">
        <w:tc>
          <w:tcPr>
            <w:tcW w:w="0" w:type="auto"/>
            <w:shd w:val="clear" w:color="auto" w:fill="auto"/>
            <w:hideMark/>
          </w:tcPr>
          <w:p w14:paraId="21230218"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57141CAC"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la serie di bande di rumorosità </w:t>
            </w:r>
            <w:r w:rsidRPr="00272C44">
              <w:rPr>
                <w:rFonts w:ascii="inherit" w:eastAsia="Times New Roman" w:hAnsi="inherit" w:cs="Times New Roman"/>
                <w:i/>
                <w:iCs/>
                <w:sz w:val="24"/>
                <w:szCs w:val="24"/>
                <w:lang w:eastAsia="it-IT"/>
              </w:rPr>
              <w:t>j</w:t>
            </w:r>
            <w:r w:rsidRPr="00272C44">
              <w:rPr>
                <w:rFonts w:ascii="inherit" w:eastAsia="Times New Roman" w:hAnsi="inherit" w:cs="Times New Roman"/>
                <w:sz w:val="24"/>
                <w:szCs w:val="24"/>
                <w:lang w:eastAsia="it-IT"/>
              </w:rPr>
              <w:t> è costituita di bande individuali, la cui ampiezza massima è di 5 dB (ad esempio 50-51 dB, 51-52 dB, 52-53 dB ecc. oppure 50-54 dB, 55-59 dB, 60-64 dB ecc.);</w:t>
            </w:r>
          </w:p>
        </w:tc>
      </w:tr>
    </w:tbl>
    <w:p w14:paraId="50F26B54"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240"/>
        <w:gridCol w:w="9398"/>
      </w:tblGrid>
      <w:tr w:rsidR="00272C44" w:rsidRPr="00272C44" w14:paraId="6F44D14C" w14:textId="77777777" w:rsidTr="00272C44">
        <w:tc>
          <w:tcPr>
            <w:tcW w:w="0" w:type="auto"/>
            <w:shd w:val="clear" w:color="auto" w:fill="auto"/>
            <w:hideMark/>
          </w:tcPr>
          <w:p w14:paraId="7F0C6767"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19E7DE38"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proofErr w:type="spellStart"/>
            <w:r w:rsidRPr="00272C44">
              <w:rPr>
                <w:rFonts w:ascii="inherit" w:eastAsia="Times New Roman" w:hAnsi="inherit" w:cs="Times New Roman"/>
                <w:i/>
                <w:iCs/>
                <w:sz w:val="24"/>
                <w:szCs w:val="24"/>
                <w:lang w:eastAsia="it-IT"/>
              </w:rPr>
              <w:t>p</w:t>
            </w:r>
            <w:r w:rsidRPr="00272C44">
              <w:rPr>
                <w:rFonts w:ascii="inherit" w:eastAsia="Times New Roman" w:hAnsi="inherit" w:cs="Times New Roman"/>
                <w:i/>
                <w:iCs/>
                <w:sz w:val="17"/>
                <w:szCs w:val="17"/>
                <w:vertAlign w:val="subscript"/>
                <w:lang w:eastAsia="it-IT"/>
              </w:rPr>
              <w:t>j</w:t>
            </w:r>
            <w:proofErr w:type="spellEnd"/>
            <w:r w:rsidRPr="00272C44">
              <w:rPr>
                <w:rFonts w:ascii="inherit" w:eastAsia="Times New Roman" w:hAnsi="inherit" w:cs="Times New Roman"/>
                <w:i/>
                <w:iCs/>
                <w:sz w:val="24"/>
                <w:szCs w:val="24"/>
                <w:lang w:eastAsia="it-IT"/>
              </w:rPr>
              <w:t> </w:t>
            </w:r>
            <w:r w:rsidRPr="00272C44">
              <w:rPr>
                <w:rFonts w:ascii="inherit" w:eastAsia="Times New Roman" w:hAnsi="inherit" w:cs="Times New Roman"/>
                <w:sz w:val="24"/>
                <w:szCs w:val="24"/>
                <w:lang w:eastAsia="it-IT"/>
              </w:rPr>
              <w:t>è la proporzione di popolazione totale </w:t>
            </w:r>
            <w:r w:rsidRPr="00272C44">
              <w:rPr>
                <w:rFonts w:ascii="inherit" w:eastAsia="Times New Roman" w:hAnsi="inherit" w:cs="Times New Roman"/>
                <w:i/>
                <w:iCs/>
                <w:sz w:val="24"/>
                <w:szCs w:val="24"/>
                <w:lang w:eastAsia="it-IT"/>
              </w:rPr>
              <w:t>P</w:t>
            </w:r>
            <w:r w:rsidRPr="00272C44">
              <w:rPr>
                <w:rFonts w:ascii="inherit" w:eastAsia="Times New Roman" w:hAnsi="inherit" w:cs="Times New Roman"/>
                <w:sz w:val="24"/>
                <w:szCs w:val="24"/>
                <w:lang w:eastAsia="it-IT"/>
              </w:rPr>
              <w:t> della zona presa in considerazione esposta alla </w:t>
            </w:r>
            <w:r w:rsidRPr="00272C44">
              <w:rPr>
                <w:rFonts w:ascii="inherit" w:eastAsia="Times New Roman" w:hAnsi="inherit" w:cs="Times New Roman"/>
                <w:i/>
                <w:iCs/>
                <w:sz w:val="24"/>
                <w:szCs w:val="24"/>
                <w:lang w:eastAsia="it-IT"/>
              </w:rPr>
              <w:t>j</w:t>
            </w:r>
            <w:r w:rsidRPr="00272C44">
              <w:rPr>
                <w:rFonts w:ascii="inherit" w:eastAsia="Times New Roman" w:hAnsi="inherit" w:cs="Times New Roman"/>
                <w:sz w:val="24"/>
                <w:szCs w:val="24"/>
                <w:lang w:eastAsia="it-IT"/>
              </w:rPr>
              <w:t>-esima banda di esposizione, alla quale è associato un dato rischio relativo di uno specifico effetto nocivo </w:t>
            </w:r>
            <w:proofErr w:type="spellStart"/>
            <w:proofErr w:type="gramStart"/>
            <w:r w:rsidRPr="00272C44">
              <w:rPr>
                <w:rFonts w:ascii="inherit" w:eastAsia="Times New Roman" w:hAnsi="inherit" w:cs="Times New Roman"/>
                <w:i/>
                <w:iCs/>
                <w:sz w:val="24"/>
                <w:szCs w:val="24"/>
                <w:lang w:eastAsia="it-IT"/>
              </w:rPr>
              <w:t>RR</w:t>
            </w:r>
            <w:r w:rsidRPr="00272C44">
              <w:rPr>
                <w:rFonts w:ascii="inherit" w:eastAsia="Times New Roman" w:hAnsi="inherit" w:cs="Times New Roman"/>
                <w:i/>
                <w:iCs/>
                <w:sz w:val="17"/>
                <w:szCs w:val="17"/>
                <w:vertAlign w:val="subscript"/>
                <w:lang w:eastAsia="it-IT"/>
              </w:rPr>
              <w:t>j,x</w:t>
            </w:r>
            <w:proofErr w:type="gramEnd"/>
            <w:r w:rsidRPr="00272C44">
              <w:rPr>
                <w:rFonts w:ascii="inherit" w:eastAsia="Times New Roman" w:hAnsi="inherit" w:cs="Times New Roman"/>
                <w:i/>
                <w:iCs/>
                <w:sz w:val="17"/>
                <w:szCs w:val="17"/>
                <w:vertAlign w:val="subscript"/>
                <w:lang w:eastAsia="it-IT"/>
              </w:rPr>
              <w:t>,y</w:t>
            </w:r>
            <w:proofErr w:type="spellEnd"/>
            <w:r w:rsidRPr="00272C44">
              <w:rPr>
                <w:rFonts w:ascii="inherit" w:eastAsia="Times New Roman" w:hAnsi="inherit" w:cs="Times New Roman"/>
                <w:i/>
                <w:iCs/>
                <w:sz w:val="24"/>
                <w:szCs w:val="24"/>
                <w:lang w:eastAsia="it-IT"/>
              </w:rPr>
              <w:t> </w:t>
            </w:r>
            <w:r w:rsidRPr="00272C44">
              <w:rPr>
                <w:rFonts w:ascii="inherit" w:eastAsia="Times New Roman" w:hAnsi="inherit" w:cs="Times New Roman"/>
                <w:sz w:val="24"/>
                <w:szCs w:val="24"/>
                <w:lang w:eastAsia="it-IT"/>
              </w:rPr>
              <w:t>. Il valore di </w:t>
            </w:r>
            <w:proofErr w:type="spellStart"/>
            <w:proofErr w:type="gramStart"/>
            <w:r w:rsidRPr="00272C44">
              <w:rPr>
                <w:rFonts w:ascii="inherit" w:eastAsia="Times New Roman" w:hAnsi="inherit" w:cs="Times New Roman"/>
                <w:i/>
                <w:iCs/>
                <w:sz w:val="24"/>
                <w:szCs w:val="24"/>
                <w:lang w:eastAsia="it-IT"/>
              </w:rPr>
              <w:t>RR</w:t>
            </w:r>
            <w:r w:rsidRPr="00272C44">
              <w:rPr>
                <w:rFonts w:ascii="inherit" w:eastAsia="Times New Roman" w:hAnsi="inherit" w:cs="Times New Roman"/>
                <w:i/>
                <w:iCs/>
                <w:sz w:val="17"/>
                <w:szCs w:val="17"/>
                <w:vertAlign w:val="subscript"/>
                <w:lang w:eastAsia="it-IT"/>
              </w:rPr>
              <w:t>j,x</w:t>
            </w:r>
            <w:proofErr w:type="gramEnd"/>
            <w:r w:rsidRPr="00272C44">
              <w:rPr>
                <w:rFonts w:ascii="inherit" w:eastAsia="Times New Roman" w:hAnsi="inherit" w:cs="Times New Roman"/>
                <w:i/>
                <w:iCs/>
                <w:sz w:val="17"/>
                <w:szCs w:val="17"/>
                <w:vertAlign w:val="subscript"/>
                <w:lang w:eastAsia="it-IT"/>
              </w:rPr>
              <w:t>,y</w:t>
            </w:r>
            <w:proofErr w:type="spellEnd"/>
            <w:r w:rsidRPr="00272C44">
              <w:rPr>
                <w:rFonts w:ascii="inherit" w:eastAsia="Times New Roman" w:hAnsi="inherit" w:cs="Times New Roman"/>
                <w:i/>
                <w:iCs/>
                <w:sz w:val="24"/>
                <w:szCs w:val="24"/>
                <w:lang w:eastAsia="it-IT"/>
              </w:rPr>
              <w:t> </w:t>
            </w:r>
            <w:r w:rsidRPr="00272C44">
              <w:rPr>
                <w:rFonts w:ascii="inherit" w:eastAsia="Times New Roman" w:hAnsi="inherit" w:cs="Times New Roman"/>
                <w:sz w:val="24"/>
                <w:szCs w:val="24"/>
                <w:lang w:eastAsia="it-IT"/>
              </w:rPr>
              <w:t>è calcolato in applicazione delle formule indicate al punto 2 del presente allegato, utilizzando il valore centrale di ciascuna banda di rumorosità (ad esempio, a seconda dei dati disponibili, 50,5 dB per la banda 50-51 dB o 52 dB per la banda 50-54 dB).</w:t>
            </w:r>
          </w:p>
        </w:tc>
      </w:tr>
    </w:tbl>
    <w:p w14:paraId="3E1E5156"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3.2.3.   </w:t>
      </w:r>
      <w:r w:rsidRPr="00272C44">
        <w:rPr>
          <w:rFonts w:ascii="inherit" w:eastAsia="Times New Roman" w:hAnsi="inherit" w:cs="Times New Roman"/>
          <w:b/>
          <w:bCs/>
          <w:color w:val="000000"/>
          <w:sz w:val="24"/>
          <w:szCs w:val="24"/>
          <w:lang w:eastAsia="it-IT"/>
        </w:rPr>
        <w:t>Per quanto riguarda la cardiopatia ischemica nel caso del rumore del traffico veicolare, il numero totale </w:t>
      </w:r>
      <w:r w:rsidRPr="00272C44">
        <w:rPr>
          <w:rFonts w:ascii="inherit" w:eastAsia="Times New Roman" w:hAnsi="inherit" w:cs="Times New Roman"/>
          <w:b/>
          <w:bCs/>
          <w:i/>
          <w:iCs/>
          <w:color w:val="000000"/>
          <w:sz w:val="24"/>
          <w:szCs w:val="24"/>
          <w:lang w:eastAsia="it-IT"/>
        </w:rPr>
        <w:t>N</w:t>
      </w:r>
      <w:r w:rsidRPr="00272C44">
        <w:rPr>
          <w:rFonts w:ascii="inherit" w:eastAsia="Times New Roman" w:hAnsi="inherit" w:cs="Times New Roman"/>
          <w:b/>
          <w:bCs/>
          <w:color w:val="000000"/>
          <w:sz w:val="24"/>
          <w:szCs w:val="24"/>
          <w:lang w:eastAsia="it-IT"/>
        </w:rPr>
        <w:t> di casi</w:t>
      </w:r>
      <w:r w:rsidRPr="00272C44">
        <w:rPr>
          <w:rFonts w:ascii="inherit" w:eastAsia="Times New Roman" w:hAnsi="inherit" w:cs="Times New Roman"/>
          <w:color w:val="000000"/>
          <w:sz w:val="24"/>
          <w:szCs w:val="24"/>
          <w:lang w:eastAsia="it-IT"/>
        </w:rPr>
        <w:t> (individui interessati dall’effetto nocivo </w:t>
      </w:r>
      <w:r w:rsidRPr="00272C44">
        <w:rPr>
          <w:rFonts w:ascii="inherit" w:eastAsia="Times New Roman" w:hAnsi="inherit" w:cs="Times New Roman"/>
          <w:i/>
          <w:iCs/>
          <w:color w:val="000000"/>
          <w:sz w:val="24"/>
          <w:szCs w:val="24"/>
          <w:lang w:eastAsia="it-IT"/>
        </w:rPr>
        <w:t>y</w:t>
      </w:r>
      <w:r w:rsidRPr="00272C44">
        <w:rPr>
          <w:rFonts w:ascii="inherit" w:eastAsia="Times New Roman" w:hAnsi="inherit" w:cs="Times New Roman"/>
          <w:color w:val="000000"/>
          <w:sz w:val="24"/>
          <w:szCs w:val="24"/>
          <w:lang w:eastAsia="it-IT"/>
        </w:rPr>
        <w:t>; numero di casi attribuibili) dovuti alla sorgente </w:t>
      </w:r>
      <w:r w:rsidRPr="00272C44">
        <w:rPr>
          <w:rFonts w:ascii="inherit" w:eastAsia="Times New Roman" w:hAnsi="inherit" w:cs="Times New Roman"/>
          <w:i/>
          <w:iCs/>
          <w:color w:val="000000"/>
          <w:sz w:val="24"/>
          <w:szCs w:val="24"/>
          <w:lang w:eastAsia="it-IT"/>
        </w:rPr>
        <w:t>x</w:t>
      </w:r>
      <w:r w:rsidRPr="00272C44">
        <w:rPr>
          <w:rFonts w:ascii="inherit" w:eastAsia="Times New Roman" w:hAnsi="inherit" w:cs="Times New Roman"/>
          <w:color w:val="000000"/>
          <w:sz w:val="24"/>
          <w:szCs w:val="24"/>
          <w:lang w:eastAsia="it-IT"/>
        </w:rPr>
        <w:t> è dunque:</w:t>
      </w:r>
    </w:p>
    <w:p w14:paraId="2C232C7B"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proofErr w:type="spellStart"/>
      <w:proofErr w:type="gramStart"/>
      <w:r w:rsidRPr="00272C44">
        <w:rPr>
          <w:rFonts w:ascii="inherit" w:eastAsia="Times New Roman" w:hAnsi="inherit" w:cs="Times New Roman"/>
          <w:i/>
          <w:iCs/>
          <w:color w:val="000000"/>
          <w:sz w:val="24"/>
          <w:szCs w:val="24"/>
          <w:lang w:eastAsia="it-IT"/>
        </w:rPr>
        <w:t>N</w:t>
      </w:r>
      <w:r w:rsidRPr="00272C44">
        <w:rPr>
          <w:rFonts w:ascii="inherit" w:eastAsia="Times New Roman" w:hAnsi="inherit" w:cs="Times New Roman"/>
          <w:i/>
          <w:iCs/>
          <w:color w:val="000000"/>
          <w:sz w:val="17"/>
          <w:szCs w:val="17"/>
          <w:vertAlign w:val="subscript"/>
          <w:lang w:eastAsia="it-IT"/>
        </w:rPr>
        <w:t>x,y</w:t>
      </w:r>
      <w:proofErr w:type="spellEnd"/>
      <w:proofErr w:type="gramEnd"/>
      <w:r w:rsidRPr="00272C44">
        <w:rPr>
          <w:rFonts w:ascii="inherit" w:eastAsia="Times New Roman" w:hAnsi="inherit" w:cs="Times New Roman"/>
          <w:i/>
          <w:iCs/>
          <w:color w:val="000000"/>
          <w:sz w:val="24"/>
          <w:szCs w:val="24"/>
          <w:lang w:eastAsia="it-IT"/>
        </w:rPr>
        <w:t> </w:t>
      </w:r>
      <w:r w:rsidRPr="00272C44">
        <w:rPr>
          <w:rFonts w:ascii="inherit" w:eastAsia="Times New Roman" w:hAnsi="inherit" w:cs="Times New Roman"/>
          <w:color w:val="000000"/>
          <w:sz w:val="24"/>
          <w:szCs w:val="24"/>
          <w:lang w:eastAsia="it-IT"/>
        </w:rPr>
        <w:t>= </w:t>
      </w:r>
      <w:proofErr w:type="spellStart"/>
      <w:r w:rsidRPr="00272C44">
        <w:rPr>
          <w:rFonts w:ascii="inherit" w:eastAsia="Times New Roman" w:hAnsi="inherit" w:cs="Times New Roman"/>
          <w:i/>
          <w:iCs/>
          <w:color w:val="000000"/>
          <w:sz w:val="24"/>
          <w:szCs w:val="24"/>
          <w:lang w:eastAsia="it-IT"/>
        </w:rPr>
        <w:t>PAF</w:t>
      </w:r>
      <w:r w:rsidRPr="00272C44">
        <w:rPr>
          <w:rFonts w:ascii="inherit" w:eastAsia="Times New Roman" w:hAnsi="inherit" w:cs="Times New Roman"/>
          <w:i/>
          <w:iCs/>
          <w:color w:val="000000"/>
          <w:sz w:val="17"/>
          <w:szCs w:val="17"/>
          <w:vertAlign w:val="subscript"/>
          <w:lang w:eastAsia="it-IT"/>
        </w:rPr>
        <w:t>x,y,i</w:t>
      </w:r>
      <w:proofErr w:type="spellEnd"/>
      <w:r w:rsidRPr="00272C44">
        <w:rPr>
          <w:rFonts w:ascii="inherit" w:eastAsia="Times New Roman" w:hAnsi="inherit" w:cs="Times New Roman"/>
          <w:i/>
          <w:iCs/>
          <w:color w:val="000000"/>
          <w:sz w:val="24"/>
          <w:szCs w:val="24"/>
          <w:lang w:eastAsia="it-IT"/>
        </w:rPr>
        <w:t> </w:t>
      </w:r>
      <w:r w:rsidRPr="00272C44">
        <w:rPr>
          <w:rFonts w:ascii="inherit" w:eastAsia="Times New Roman" w:hAnsi="inherit" w:cs="Times New Roman"/>
          <w:color w:val="000000"/>
          <w:sz w:val="24"/>
          <w:szCs w:val="24"/>
          <w:lang w:eastAsia="it-IT"/>
        </w:rPr>
        <w:t>* </w:t>
      </w:r>
      <w:proofErr w:type="spellStart"/>
      <w:r w:rsidRPr="00272C44">
        <w:rPr>
          <w:rFonts w:ascii="inherit" w:eastAsia="Times New Roman" w:hAnsi="inherit" w:cs="Times New Roman"/>
          <w:i/>
          <w:iCs/>
          <w:color w:val="000000"/>
          <w:sz w:val="24"/>
          <w:szCs w:val="24"/>
          <w:lang w:eastAsia="it-IT"/>
        </w:rPr>
        <w:t>I</w:t>
      </w:r>
      <w:r w:rsidRPr="00272C44">
        <w:rPr>
          <w:rFonts w:ascii="inherit" w:eastAsia="Times New Roman" w:hAnsi="inherit" w:cs="Times New Roman"/>
          <w:i/>
          <w:iCs/>
          <w:color w:val="000000"/>
          <w:sz w:val="17"/>
          <w:szCs w:val="17"/>
          <w:vertAlign w:val="subscript"/>
          <w:lang w:eastAsia="it-IT"/>
        </w:rPr>
        <w:t>y</w:t>
      </w:r>
      <w:proofErr w:type="spellEnd"/>
      <w:r w:rsidRPr="00272C44">
        <w:rPr>
          <w:rFonts w:ascii="inherit" w:eastAsia="Times New Roman" w:hAnsi="inherit" w:cs="Times New Roman"/>
          <w:i/>
          <w:iCs/>
          <w:color w:val="000000"/>
          <w:sz w:val="24"/>
          <w:szCs w:val="24"/>
          <w:lang w:eastAsia="it-IT"/>
        </w:rPr>
        <w:t> </w:t>
      </w:r>
      <w:r w:rsidRPr="00272C44">
        <w:rPr>
          <w:rFonts w:ascii="inherit" w:eastAsia="Times New Roman" w:hAnsi="inherit" w:cs="Times New Roman"/>
          <w:color w:val="000000"/>
          <w:sz w:val="24"/>
          <w:szCs w:val="24"/>
          <w:lang w:eastAsia="it-IT"/>
        </w:rPr>
        <w:t>* </w:t>
      </w:r>
      <w:r w:rsidRPr="00272C44">
        <w:rPr>
          <w:rFonts w:ascii="inherit" w:eastAsia="Times New Roman" w:hAnsi="inherit" w:cs="Times New Roman"/>
          <w:i/>
          <w:iCs/>
          <w:color w:val="000000"/>
          <w:sz w:val="24"/>
          <w:szCs w:val="24"/>
          <w:lang w:eastAsia="it-IT"/>
        </w:rPr>
        <w:t>P</w:t>
      </w:r>
      <w:r w:rsidRPr="00272C44">
        <w:rPr>
          <w:rFonts w:ascii="inherit" w:eastAsia="Times New Roman" w:hAnsi="inherit" w:cs="Times New Roman"/>
          <w:color w:val="000000"/>
          <w:sz w:val="24"/>
          <w:szCs w:val="24"/>
          <w:lang w:eastAsia="it-IT"/>
        </w:rPr>
        <w:t> (Formula 11)</w:t>
      </w:r>
    </w:p>
    <w:p w14:paraId="5C6E3529"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per il traffico veicolare</w:t>
      </w:r>
    </w:p>
    <w:p w14:paraId="0AFA54DE"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dove:</w:t>
      </w:r>
    </w:p>
    <w:tbl>
      <w:tblPr>
        <w:tblW w:w="5000" w:type="pct"/>
        <w:tblCellMar>
          <w:left w:w="0" w:type="dxa"/>
          <w:right w:w="0" w:type="dxa"/>
        </w:tblCellMar>
        <w:tblLook w:val="04A0" w:firstRow="1" w:lastRow="0" w:firstColumn="1" w:lastColumn="0" w:noHBand="0" w:noVBand="1"/>
      </w:tblPr>
      <w:tblGrid>
        <w:gridCol w:w="627"/>
        <w:gridCol w:w="9011"/>
      </w:tblGrid>
      <w:tr w:rsidR="00272C44" w:rsidRPr="00272C44" w14:paraId="08DFB375" w14:textId="77777777" w:rsidTr="00272C44">
        <w:tc>
          <w:tcPr>
            <w:tcW w:w="0" w:type="auto"/>
            <w:shd w:val="clear" w:color="auto" w:fill="auto"/>
            <w:hideMark/>
          </w:tcPr>
          <w:p w14:paraId="40967C80"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683308A6"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proofErr w:type="spellStart"/>
            <w:proofErr w:type="gramStart"/>
            <w:r w:rsidRPr="00272C44">
              <w:rPr>
                <w:rFonts w:ascii="inherit" w:eastAsia="Times New Roman" w:hAnsi="inherit" w:cs="Times New Roman"/>
                <w:i/>
                <w:iCs/>
                <w:sz w:val="24"/>
                <w:szCs w:val="24"/>
                <w:lang w:eastAsia="it-IT"/>
              </w:rPr>
              <w:t>PAF</w:t>
            </w:r>
            <w:r w:rsidRPr="00272C44">
              <w:rPr>
                <w:rFonts w:ascii="inherit" w:eastAsia="Times New Roman" w:hAnsi="inherit" w:cs="Times New Roman"/>
                <w:i/>
                <w:iCs/>
                <w:sz w:val="17"/>
                <w:szCs w:val="17"/>
                <w:vertAlign w:val="subscript"/>
                <w:lang w:eastAsia="it-IT"/>
              </w:rPr>
              <w:t>x,y</w:t>
            </w:r>
            <w:proofErr w:type="gramEnd"/>
            <w:r w:rsidRPr="00272C44">
              <w:rPr>
                <w:rFonts w:ascii="inherit" w:eastAsia="Times New Roman" w:hAnsi="inherit" w:cs="Times New Roman"/>
                <w:i/>
                <w:iCs/>
                <w:sz w:val="17"/>
                <w:szCs w:val="17"/>
                <w:vertAlign w:val="subscript"/>
                <w:lang w:eastAsia="it-IT"/>
              </w:rPr>
              <w:t>,i</w:t>
            </w:r>
            <w:proofErr w:type="spellEnd"/>
            <w:r w:rsidRPr="00272C44">
              <w:rPr>
                <w:rFonts w:ascii="inherit" w:eastAsia="Times New Roman" w:hAnsi="inherit" w:cs="Times New Roman"/>
                <w:i/>
                <w:iCs/>
                <w:sz w:val="24"/>
                <w:szCs w:val="24"/>
                <w:lang w:eastAsia="it-IT"/>
              </w:rPr>
              <w:t> </w:t>
            </w:r>
            <w:r w:rsidRPr="00272C44">
              <w:rPr>
                <w:rFonts w:ascii="inherit" w:eastAsia="Times New Roman" w:hAnsi="inherit" w:cs="Times New Roman"/>
                <w:sz w:val="24"/>
                <w:szCs w:val="24"/>
                <w:lang w:eastAsia="it-IT"/>
              </w:rPr>
              <w:t>è calcolato per l’incidenza </w:t>
            </w:r>
            <w:r w:rsidRPr="00272C44">
              <w:rPr>
                <w:rFonts w:ascii="inherit" w:eastAsia="Times New Roman" w:hAnsi="inherit" w:cs="Times New Roman"/>
                <w:i/>
                <w:iCs/>
                <w:sz w:val="24"/>
                <w:szCs w:val="24"/>
                <w:lang w:eastAsia="it-IT"/>
              </w:rPr>
              <w:t>i</w:t>
            </w:r>
            <w:r w:rsidRPr="00272C44">
              <w:rPr>
                <w:rFonts w:ascii="inherit" w:eastAsia="Times New Roman" w:hAnsi="inherit" w:cs="Times New Roman"/>
                <w:sz w:val="24"/>
                <w:szCs w:val="24"/>
                <w:lang w:eastAsia="it-IT"/>
              </w:rPr>
              <w:t>;</w:t>
            </w:r>
          </w:p>
        </w:tc>
      </w:tr>
    </w:tbl>
    <w:p w14:paraId="08F4393E"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240"/>
        <w:gridCol w:w="9398"/>
      </w:tblGrid>
      <w:tr w:rsidR="00272C44" w:rsidRPr="00272C44" w14:paraId="2366E825" w14:textId="77777777" w:rsidTr="00272C44">
        <w:tc>
          <w:tcPr>
            <w:tcW w:w="0" w:type="auto"/>
            <w:shd w:val="clear" w:color="auto" w:fill="auto"/>
            <w:hideMark/>
          </w:tcPr>
          <w:p w14:paraId="1C44B9AC"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lastRenderedPageBreak/>
              <w:t>—</w:t>
            </w:r>
          </w:p>
        </w:tc>
        <w:tc>
          <w:tcPr>
            <w:tcW w:w="0" w:type="auto"/>
            <w:shd w:val="clear" w:color="auto" w:fill="auto"/>
            <w:hideMark/>
          </w:tcPr>
          <w:p w14:paraId="1393AD2A"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proofErr w:type="spellStart"/>
            <w:r w:rsidRPr="00272C44">
              <w:rPr>
                <w:rFonts w:ascii="inherit" w:eastAsia="Times New Roman" w:hAnsi="inherit" w:cs="Times New Roman"/>
                <w:i/>
                <w:iCs/>
                <w:sz w:val="24"/>
                <w:szCs w:val="24"/>
                <w:lang w:eastAsia="it-IT"/>
              </w:rPr>
              <w:t>I</w:t>
            </w:r>
            <w:r w:rsidRPr="00272C44">
              <w:rPr>
                <w:rFonts w:ascii="inherit" w:eastAsia="Times New Roman" w:hAnsi="inherit" w:cs="Times New Roman"/>
                <w:i/>
                <w:iCs/>
                <w:sz w:val="17"/>
                <w:szCs w:val="17"/>
                <w:vertAlign w:val="subscript"/>
                <w:lang w:eastAsia="it-IT"/>
              </w:rPr>
              <w:t>y</w:t>
            </w:r>
            <w:proofErr w:type="spellEnd"/>
            <w:r w:rsidRPr="00272C44">
              <w:rPr>
                <w:rFonts w:ascii="inherit" w:eastAsia="Times New Roman" w:hAnsi="inherit" w:cs="Times New Roman"/>
                <w:i/>
                <w:iCs/>
                <w:sz w:val="24"/>
                <w:szCs w:val="24"/>
                <w:lang w:eastAsia="it-IT"/>
              </w:rPr>
              <w:t> </w:t>
            </w:r>
            <w:r w:rsidRPr="00272C44">
              <w:rPr>
                <w:rFonts w:ascii="inherit" w:eastAsia="Times New Roman" w:hAnsi="inherit" w:cs="Times New Roman"/>
                <w:sz w:val="24"/>
                <w:szCs w:val="24"/>
                <w:lang w:eastAsia="it-IT"/>
              </w:rPr>
              <w:t>è il tasso di incidenza della cardiopatia ischemica nella zona presa in considerazione, che può essere ottenuto da statistiche sanitarie relative alla regione o al paese in cui si trova la zona presa in considerazione;</w:t>
            </w:r>
          </w:p>
        </w:tc>
      </w:tr>
    </w:tbl>
    <w:p w14:paraId="3DE49CA6"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240"/>
        <w:gridCol w:w="9398"/>
      </w:tblGrid>
      <w:tr w:rsidR="00272C44" w:rsidRPr="00272C44" w14:paraId="092F50FF" w14:textId="77777777" w:rsidTr="00272C44">
        <w:tc>
          <w:tcPr>
            <w:tcW w:w="0" w:type="auto"/>
            <w:shd w:val="clear" w:color="auto" w:fill="auto"/>
            <w:hideMark/>
          </w:tcPr>
          <w:p w14:paraId="065A518B"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51F6EEAD"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i/>
                <w:iCs/>
                <w:sz w:val="24"/>
                <w:szCs w:val="24"/>
                <w:lang w:eastAsia="it-IT"/>
              </w:rPr>
              <w:t>P</w:t>
            </w:r>
            <w:r w:rsidRPr="00272C44">
              <w:rPr>
                <w:rFonts w:ascii="inherit" w:eastAsia="Times New Roman" w:hAnsi="inherit" w:cs="Times New Roman"/>
                <w:sz w:val="24"/>
                <w:szCs w:val="24"/>
                <w:lang w:eastAsia="it-IT"/>
              </w:rPr>
              <w:t> è la popolazione totale della zona presa in considerazione (somma della popolazione nelle diverse bande di rumorosità).</w:t>
            </w:r>
          </w:p>
        </w:tc>
      </w:tr>
    </w:tbl>
    <w:p w14:paraId="7742FA8F"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3.3.   </w:t>
      </w:r>
      <w:r w:rsidRPr="00272C44">
        <w:rPr>
          <w:rFonts w:ascii="inherit" w:eastAsia="Times New Roman" w:hAnsi="inherit" w:cs="Times New Roman"/>
          <w:b/>
          <w:bCs/>
          <w:color w:val="000000"/>
          <w:sz w:val="24"/>
          <w:szCs w:val="24"/>
          <w:lang w:eastAsia="it-IT"/>
        </w:rPr>
        <w:t>Per quanto riguarda il fastidio forte e i disturbi gravi del sonno nel caso del rumore del traffico veicolare, ferroviario e degli aeromobili, il numero totale </w:t>
      </w:r>
      <w:r w:rsidRPr="00272C44">
        <w:rPr>
          <w:rFonts w:ascii="inherit" w:eastAsia="Times New Roman" w:hAnsi="inherit" w:cs="Times New Roman"/>
          <w:b/>
          <w:bCs/>
          <w:i/>
          <w:iCs/>
          <w:color w:val="000000"/>
          <w:sz w:val="24"/>
          <w:szCs w:val="24"/>
          <w:lang w:eastAsia="it-IT"/>
        </w:rPr>
        <w:t>N</w:t>
      </w:r>
      <w:r w:rsidRPr="00272C44">
        <w:rPr>
          <w:rFonts w:ascii="inherit" w:eastAsia="Times New Roman" w:hAnsi="inherit" w:cs="Times New Roman"/>
          <w:b/>
          <w:bCs/>
          <w:color w:val="000000"/>
          <w:sz w:val="24"/>
          <w:szCs w:val="24"/>
          <w:lang w:eastAsia="it-IT"/>
        </w:rPr>
        <w:t> di individui interessati dall’effetto nocivo </w:t>
      </w:r>
      <w:r w:rsidRPr="00272C44">
        <w:rPr>
          <w:rFonts w:ascii="inherit" w:eastAsia="Times New Roman" w:hAnsi="inherit" w:cs="Times New Roman"/>
          <w:b/>
          <w:bCs/>
          <w:i/>
          <w:iCs/>
          <w:color w:val="000000"/>
          <w:sz w:val="24"/>
          <w:szCs w:val="24"/>
          <w:lang w:eastAsia="it-IT"/>
        </w:rPr>
        <w:t>y</w:t>
      </w:r>
      <w:r w:rsidRPr="00272C44">
        <w:rPr>
          <w:rFonts w:ascii="inherit" w:eastAsia="Times New Roman" w:hAnsi="inherit" w:cs="Times New Roman"/>
          <w:b/>
          <w:bCs/>
          <w:color w:val="000000"/>
          <w:sz w:val="24"/>
          <w:szCs w:val="24"/>
          <w:lang w:eastAsia="it-IT"/>
        </w:rPr>
        <w:t> </w:t>
      </w:r>
      <w:r w:rsidRPr="00272C44">
        <w:rPr>
          <w:rFonts w:ascii="inherit" w:eastAsia="Times New Roman" w:hAnsi="inherit" w:cs="Times New Roman"/>
          <w:color w:val="000000"/>
          <w:sz w:val="24"/>
          <w:szCs w:val="24"/>
          <w:lang w:eastAsia="it-IT"/>
        </w:rPr>
        <w:t>(numero di casi attribuibili) dovuto alla sorgente di rumore </w:t>
      </w:r>
      <w:r w:rsidRPr="00272C44">
        <w:rPr>
          <w:rFonts w:ascii="inherit" w:eastAsia="Times New Roman" w:hAnsi="inherit" w:cs="Times New Roman"/>
          <w:i/>
          <w:iCs/>
          <w:color w:val="000000"/>
          <w:sz w:val="24"/>
          <w:szCs w:val="24"/>
          <w:lang w:eastAsia="it-IT"/>
        </w:rPr>
        <w:t>x</w:t>
      </w:r>
      <w:r w:rsidRPr="00272C44">
        <w:rPr>
          <w:rFonts w:ascii="inherit" w:eastAsia="Times New Roman" w:hAnsi="inherit" w:cs="Times New Roman"/>
          <w:color w:val="000000"/>
          <w:sz w:val="24"/>
          <w:szCs w:val="24"/>
          <w:lang w:eastAsia="it-IT"/>
        </w:rPr>
        <w:t> per ogni combinazione di sorgenti </w:t>
      </w:r>
      <w:r w:rsidRPr="00272C44">
        <w:rPr>
          <w:rFonts w:ascii="inherit" w:eastAsia="Times New Roman" w:hAnsi="inherit" w:cs="Times New Roman"/>
          <w:i/>
          <w:iCs/>
          <w:color w:val="000000"/>
          <w:sz w:val="24"/>
          <w:szCs w:val="24"/>
          <w:lang w:eastAsia="it-IT"/>
        </w:rPr>
        <w:t>x</w:t>
      </w:r>
      <w:r w:rsidRPr="00272C44">
        <w:rPr>
          <w:rFonts w:ascii="inherit" w:eastAsia="Times New Roman" w:hAnsi="inherit" w:cs="Times New Roman"/>
          <w:color w:val="000000"/>
          <w:sz w:val="24"/>
          <w:szCs w:val="24"/>
          <w:lang w:eastAsia="it-IT"/>
        </w:rPr>
        <w:t> (traffico veicolare, ferroviario o degli aeromobili) e per ogni effetto nocivo </w:t>
      </w:r>
      <w:r w:rsidRPr="00272C44">
        <w:rPr>
          <w:rFonts w:ascii="inherit" w:eastAsia="Times New Roman" w:hAnsi="inherit" w:cs="Times New Roman"/>
          <w:i/>
          <w:iCs/>
          <w:color w:val="000000"/>
          <w:sz w:val="24"/>
          <w:szCs w:val="24"/>
          <w:lang w:eastAsia="it-IT"/>
        </w:rPr>
        <w:t>y</w:t>
      </w:r>
      <w:r w:rsidRPr="00272C44">
        <w:rPr>
          <w:rFonts w:ascii="inherit" w:eastAsia="Times New Roman" w:hAnsi="inherit" w:cs="Times New Roman"/>
          <w:color w:val="000000"/>
          <w:sz w:val="24"/>
          <w:szCs w:val="24"/>
          <w:lang w:eastAsia="it-IT"/>
        </w:rPr>
        <w:t> (fastidio forte, disturbi gravi del sonno) è dunque:</w:t>
      </w:r>
    </w:p>
    <w:p w14:paraId="5F933B6E" w14:textId="77777777" w:rsidR="00272C44" w:rsidRPr="00272C44" w:rsidRDefault="00272C44" w:rsidP="00272C44">
      <w:pPr>
        <w:shd w:val="clear" w:color="auto" w:fill="FFFFFF"/>
        <w:spacing w:before="120" w:after="120" w:line="240" w:lineRule="auto"/>
        <w:jc w:val="center"/>
        <w:rPr>
          <w:rFonts w:ascii="inherit" w:eastAsia="Times New Roman" w:hAnsi="inherit" w:cs="Times New Roman"/>
          <w:color w:val="000000"/>
          <w:sz w:val="24"/>
          <w:szCs w:val="24"/>
          <w:lang w:eastAsia="it-IT"/>
        </w:rPr>
      </w:pPr>
      <w:r w:rsidRPr="00272C44">
        <w:rPr>
          <w:rFonts w:ascii="inherit" w:eastAsia="Times New Roman" w:hAnsi="inherit" w:cs="Times New Roman"/>
          <w:noProof/>
          <w:color w:val="000000"/>
          <w:sz w:val="24"/>
          <w:szCs w:val="24"/>
          <w:lang w:eastAsia="it-IT"/>
        </w:rPr>
        <w:drawing>
          <wp:inline distT="0" distB="0" distL="0" distR="0" wp14:anchorId="6F88817D" wp14:editId="62DC8787">
            <wp:extent cx="2324100" cy="190500"/>
            <wp:effectExtent l="0" t="0" r="0" b="0"/>
            <wp:docPr id="13" name="Immagine 13"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24100" cy="190500"/>
                    </a:xfrm>
                    <a:prstGeom prst="rect">
                      <a:avLst/>
                    </a:prstGeom>
                    <a:noFill/>
                    <a:ln>
                      <a:noFill/>
                    </a:ln>
                  </pic:spPr>
                </pic:pic>
              </a:graphicData>
            </a:graphic>
          </wp:inline>
        </w:drawing>
      </w:r>
    </w:p>
    <w:p w14:paraId="2E5BD1FD"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dove:</w:t>
      </w:r>
    </w:p>
    <w:tbl>
      <w:tblPr>
        <w:tblW w:w="5000" w:type="pct"/>
        <w:tblCellMar>
          <w:left w:w="0" w:type="dxa"/>
          <w:right w:w="0" w:type="dxa"/>
        </w:tblCellMar>
        <w:tblLook w:val="04A0" w:firstRow="1" w:lastRow="0" w:firstColumn="1" w:lastColumn="0" w:noHBand="0" w:noVBand="1"/>
      </w:tblPr>
      <w:tblGrid>
        <w:gridCol w:w="240"/>
        <w:gridCol w:w="9398"/>
      </w:tblGrid>
      <w:tr w:rsidR="00272C44" w:rsidRPr="00272C44" w14:paraId="05265F4B" w14:textId="77777777" w:rsidTr="00272C44">
        <w:tc>
          <w:tcPr>
            <w:tcW w:w="0" w:type="auto"/>
            <w:shd w:val="clear" w:color="auto" w:fill="auto"/>
            <w:hideMark/>
          </w:tcPr>
          <w:p w14:paraId="1393A763"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22893797"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proofErr w:type="spellStart"/>
            <w:proofErr w:type="gramStart"/>
            <w:r w:rsidRPr="00272C44">
              <w:rPr>
                <w:rFonts w:ascii="inherit" w:eastAsia="Times New Roman" w:hAnsi="inherit" w:cs="Times New Roman"/>
                <w:i/>
                <w:iCs/>
                <w:sz w:val="24"/>
                <w:szCs w:val="24"/>
                <w:lang w:eastAsia="it-IT"/>
              </w:rPr>
              <w:t>AR</w:t>
            </w:r>
            <w:r w:rsidRPr="00272C44">
              <w:rPr>
                <w:rFonts w:ascii="inherit" w:eastAsia="Times New Roman" w:hAnsi="inherit" w:cs="Times New Roman"/>
                <w:i/>
                <w:iCs/>
                <w:sz w:val="17"/>
                <w:szCs w:val="17"/>
                <w:vertAlign w:val="subscript"/>
                <w:lang w:eastAsia="it-IT"/>
              </w:rPr>
              <w:t>x,y</w:t>
            </w:r>
            <w:proofErr w:type="spellEnd"/>
            <w:proofErr w:type="gramEnd"/>
            <w:r w:rsidRPr="00272C44">
              <w:rPr>
                <w:rFonts w:ascii="inherit" w:eastAsia="Times New Roman" w:hAnsi="inherit" w:cs="Times New Roman"/>
                <w:i/>
                <w:iCs/>
                <w:sz w:val="24"/>
                <w:szCs w:val="24"/>
                <w:lang w:eastAsia="it-IT"/>
              </w:rPr>
              <w:t> </w:t>
            </w:r>
            <w:r w:rsidRPr="00272C44">
              <w:rPr>
                <w:rFonts w:ascii="inherit" w:eastAsia="Times New Roman" w:hAnsi="inherit" w:cs="Times New Roman"/>
                <w:sz w:val="24"/>
                <w:szCs w:val="24"/>
                <w:lang w:eastAsia="it-IT"/>
              </w:rPr>
              <w:t>è il rischio assoluto dell’effetto nocivo pertinente (fastidio forte, disturbi gravi del sonno) calcolato in applicazione delle formule indicate al punto 2 del presente allegato, utilizzando il valore centrale di ciascuna banda di rumorosità (ad esempio, a seconda dei dati disponibili, 50,5 dB per la banda 50-51 dB o 52 dB per la banda 50-54 dB);</w:t>
            </w:r>
          </w:p>
        </w:tc>
      </w:tr>
    </w:tbl>
    <w:p w14:paraId="2C228602"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326"/>
        <w:gridCol w:w="9312"/>
      </w:tblGrid>
      <w:tr w:rsidR="00272C44" w:rsidRPr="00272C44" w14:paraId="4F7977B0" w14:textId="77777777" w:rsidTr="00272C44">
        <w:tc>
          <w:tcPr>
            <w:tcW w:w="0" w:type="auto"/>
            <w:shd w:val="clear" w:color="auto" w:fill="auto"/>
            <w:hideMark/>
          </w:tcPr>
          <w:p w14:paraId="437BB253"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7B74EB72"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proofErr w:type="spellStart"/>
            <w:r w:rsidRPr="00272C44">
              <w:rPr>
                <w:rFonts w:ascii="inherit" w:eastAsia="Times New Roman" w:hAnsi="inherit" w:cs="Times New Roman"/>
                <w:i/>
                <w:iCs/>
                <w:sz w:val="24"/>
                <w:szCs w:val="24"/>
                <w:lang w:eastAsia="it-IT"/>
              </w:rPr>
              <w:t>n</w:t>
            </w:r>
            <w:r w:rsidRPr="00272C44">
              <w:rPr>
                <w:rFonts w:ascii="inherit" w:eastAsia="Times New Roman" w:hAnsi="inherit" w:cs="Times New Roman"/>
                <w:i/>
                <w:iCs/>
                <w:sz w:val="17"/>
                <w:szCs w:val="17"/>
                <w:vertAlign w:val="subscript"/>
                <w:lang w:eastAsia="it-IT"/>
              </w:rPr>
              <w:t>j</w:t>
            </w:r>
            <w:proofErr w:type="spellEnd"/>
            <w:r w:rsidRPr="00272C44">
              <w:rPr>
                <w:rFonts w:ascii="inherit" w:eastAsia="Times New Roman" w:hAnsi="inherit" w:cs="Times New Roman"/>
                <w:i/>
                <w:iCs/>
                <w:sz w:val="24"/>
                <w:szCs w:val="24"/>
                <w:lang w:eastAsia="it-IT"/>
              </w:rPr>
              <w:t> </w:t>
            </w:r>
            <w:r w:rsidRPr="00272C44">
              <w:rPr>
                <w:rFonts w:ascii="inherit" w:eastAsia="Times New Roman" w:hAnsi="inherit" w:cs="Times New Roman"/>
                <w:sz w:val="24"/>
                <w:szCs w:val="24"/>
                <w:lang w:eastAsia="it-IT"/>
              </w:rPr>
              <w:t>è il numero di individui esposti alla </w:t>
            </w:r>
            <w:r w:rsidRPr="00272C44">
              <w:rPr>
                <w:rFonts w:ascii="inherit" w:eastAsia="Times New Roman" w:hAnsi="inherit" w:cs="Times New Roman"/>
                <w:i/>
                <w:iCs/>
                <w:sz w:val="24"/>
                <w:szCs w:val="24"/>
                <w:lang w:eastAsia="it-IT"/>
              </w:rPr>
              <w:t>j</w:t>
            </w:r>
            <w:r w:rsidRPr="00272C44">
              <w:rPr>
                <w:rFonts w:ascii="inherit" w:eastAsia="Times New Roman" w:hAnsi="inherit" w:cs="Times New Roman"/>
                <w:sz w:val="24"/>
                <w:szCs w:val="24"/>
                <w:lang w:eastAsia="it-IT"/>
              </w:rPr>
              <w:t>-esima banda di esposizione.</w:t>
            </w:r>
          </w:p>
        </w:tc>
      </w:tr>
    </w:tbl>
    <w:p w14:paraId="01F17DC6" w14:textId="77777777" w:rsidR="00272C44" w:rsidRPr="00272C44" w:rsidRDefault="00272C44" w:rsidP="00272C44">
      <w:pPr>
        <w:shd w:val="clear" w:color="auto" w:fill="FFFFFF"/>
        <w:spacing w:before="240" w:after="120" w:line="240" w:lineRule="auto"/>
        <w:jc w:val="both"/>
        <w:rPr>
          <w:rFonts w:ascii="inherit" w:eastAsia="Times New Roman" w:hAnsi="inherit" w:cs="Times New Roman"/>
          <w:b/>
          <w:bCs/>
          <w:color w:val="000000"/>
          <w:sz w:val="24"/>
          <w:szCs w:val="24"/>
          <w:lang w:eastAsia="it-IT"/>
        </w:rPr>
      </w:pPr>
      <w:r w:rsidRPr="00272C44">
        <w:rPr>
          <w:rFonts w:ascii="inherit" w:eastAsia="Times New Roman" w:hAnsi="inherit" w:cs="Times New Roman"/>
          <w:b/>
          <w:bCs/>
          <w:color w:val="000000"/>
          <w:sz w:val="24"/>
          <w:szCs w:val="24"/>
          <w:lang w:eastAsia="it-IT"/>
        </w:rPr>
        <w:t>4.   Revisioni future</w:t>
      </w:r>
    </w:p>
    <w:p w14:paraId="2872B873"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Le relazioni dose-effetto introdotte dalle future revisioni del presente allegato riguarderanno in particolar modo:</w:t>
      </w:r>
    </w:p>
    <w:tbl>
      <w:tblPr>
        <w:tblW w:w="5000" w:type="pct"/>
        <w:tblCellMar>
          <w:left w:w="0" w:type="dxa"/>
          <w:right w:w="0" w:type="dxa"/>
        </w:tblCellMar>
        <w:tblLook w:val="04A0" w:firstRow="1" w:lastRow="0" w:firstColumn="1" w:lastColumn="0" w:noHBand="0" w:noVBand="1"/>
      </w:tblPr>
      <w:tblGrid>
        <w:gridCol w:w="331"/>
        <w:gridCol w:w="9307"/>
      </w:tblGrid>
      <w:tr w:rsidR="00272C44" w:rsidRPr="00272C44" w14:paraId="1FA822BE" w14:textId="77777777" w:rsidTr="00272C44">
        <w:tc>
          <w:tcPr>
            <w:tcW w:w="0" w:type="auto"/>
            <w:shd w:val="clear" w:color="auto" w:fill="auto"/>
            <w:hideMark/>
          </w:tcPr>
          <w:p w14:paraId="541ACB00"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22EAAAD3"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 xml:space="preserve">la relazione tra fastidio e </w:t>
            </w:r>
            <w:proofErr w:type="spellStart"/>
            <w:r w:rsidRPr="00272C44">
              <w:rPr>
                <w:rFonts w:ascii="inherit" w:eastAsia="Times New Roman" w:hAnsi="inherit" w:cs="Times New Roman"/>
                <w:sz w:val="24"/>
                <w:szCs w:val="24"/>
                <w:lang w:eastAsia="it-IT"/>
              </w:rPr>
              <w:t>L</w:t>
            </w:r>
            <w:r w:rsidRPr="00272C44">
              <w:rPr>
                <w:rFonts w:ascii="inherit" w:eastAsia="Times New Roman" w:hAnsi="inherit" w:cs="Times New Roman"/>
                <w:sz w:val="17"/>
                <w:szCs w:val="17"/>
                <w:vertAlign w:val="subscript"/>
                <w:lang w:eastAsia="it-IT"/>
              </w:rPr>
              <w:t>den</w:t>
            </w:r>
            <w:proofErr w:type="spellEnd"/>
            <w:r w:rsidRPr="00272C44">
              <w:rPr>
                <w:rFonts w:ascii="inherit" w:eastAsia="Times New Roman" w:hAnsi="inherit" w:cs="Times New Roman"/>
                <w:sz w:val="24"/>
                <w:szCs w:val="24"/>
                <w:lang w:eastAsia="it-IT"/>
              </w:rPr>
              <w:t> per il rumore dell’attività industriale;</w:t>
            </w:r>
          </w:p>
        </w:tc>
      </w:tr>
    </w:tbl>
    <w:p w14:paraId="10498E72"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284"/>
        <w:gridCol w:w="9354"/>
      </w:tblGrid>
      <w:tr w:rsidR="00272C44" w:rsidRPr="00272C44" w14:paraId="51CA11AB" w14:textId="77777777" w:rsidTr="00272C44">
        <w:tc>
          <w:tcPr>
            <w:tcW w:w="0" w:type="auto"/>
            <w:shd w:val="clear" w:color="auto" w:fill="auto"/>
            <w:hideMark/>
          </w:tcPr>
          <w:p w14:paraId="70EA6076"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6A837FC8"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 xml:space="preserve">la relazione tra disturbi del sonno e </w:t>
            </w:r>
            <w:proofErr w:type="spellStart"/>
            <w:r w:rsidRPr="00272C44">
              <w:rPr>
                <w:rFonts w:ascii="inherit" w:eastAsia="Times New Roman" w:hAnsi="inherit" w:cs="Times New Roman"/>
                <w:sz w:val="24"/>
                <w:szCs w:val="24"/>
                <w:lang w:eastAsia="it-IT"/>
              </w:rPr>
              <w:t>L</w:t>
            </w:r>
            <w:r w:rsidRPr="00272C44">
              <w:rPr>
                <w:rFonts w:ascii="inherit" w:eastAsia="Times New Roman" w:hAnsi="inherit" w:cs="Times New Roman"/>
                <w:sz w:val="17"/>
                <w:szCs w:val="17"/>
                <w:vertAlign w:val="subscript"/>
                <w:lang w:eastAsia="it-IT"/>
              </w:rPr>
              <w:t>night</w:t>
            </w:r>
            <w:proofErr w:type="spellEnd"/>
            <w:r w:rsidRPr="00272C44">
              <w:rPr>
                <w:rFonts w:ascii="inherit" w:eastAsia="Times New Roman" w:hAnsi="inherit" w:cs="Times New Roman"/>
                <w:sz w:val="24"/>
                <w:szCs w:val="24"/>
                <w:lang w:eastAsia="it-IT"/>
              </w:rPr>
              <w:t> per il rumore dell’attività industriale.</w:t>
            </w:r>
          </w:p>
        </w:tc>
      </w:tr>
    </w:tbl>
    <w:p w14:paraId="5014AA2E" w14:textId="77777777" w:rsidR="00272C44" w:rsidRPr="00272C44" w:rsidRDefault="00272C44" w:rsidP="00272C44">
      <w:pPr>
        <w:shd w:val="clear" w:color="auto" w:fill="FFFFFF"/>
        <w:spacing w:before="120" w:after="0" w:line="240" w:lineRule="auto"/>
        <w:jc w:val="both"/>
        <w:rPr>
          <w:rFonts w:ascii="inherit" w:eastAsia="Times New Roman" w:hAnsi="inherit" w:cs="Times New Roman"/>
          <w:color w:val="000000"/>
          <w:sz w:val="24"/>
          <w:szCs w:val="24"/>
          <w:lang w:eastAsia="it-IT"/>
        </w:rPr>
      </w:pPr>
      <w:r w:rsidRPr="00272C44">
        <w:rPr>
          <w:rFonts w:ascii="inherit" w:eastAsia="Times New Roman" w:hAnsi="inherit" w:cs="Times New Roman"/>
          <w:color w:val="000000"/>
          <w:sz w:val="24"/>
          <w:szCs w:val="24"/>
          <w:lang w:eastAsia="it-IT"/>
        </w:rPr>
        <w:t>Se necessario, potrebbero essere presentate specifiche relazioni dose-effetto per:</w:t>
      </w:r>
    </w:p>
    <w:tbl>
      <w:tblPr>
        <w:tblW w:w="5000" w:type="pct"/>
        <w:tblCellMar>
          <w:left w:w="0" w:type="dxa"/>
          <w:right w:w="0" w:type="dxa"/>
        </w:tblCellMar>
        <w:tblLook w:val="04A0" w:firstRow="1" w:lastRow="0" w:firstColumn="1" w:lastColumn="0" w:noHBand="0" w:noVBand="1"/>
      </w:tblPr>
      <w:tblGrid>
        <w:gridCol w:w="303"/>
        <w:gridCol w:w="9335"/>
      </w:tblGrid>
      <w:tr w:rsidR="00272C44" w:rsidRPr="00272C44" w14:paraId="3B982720" w14:textId="77777777" w:rsidTr="00272C44">
        <w:tc>
          <w:tcPr>
            <w:tcW w:w="0" w:type="auto"/>
            <w:shd w:val="clear" w:color="auto" w:fill="auto"/>
            <w:hideMark/>
          </w:tcPr>
          <w:p w14:paraId="43D1977A"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5AAD0B52"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le abitazioni con speciale insonorizzazione quali definite nell’allegato VI;</w:t>
            </w:r>
          </w:p>
        </w:tc>
      </w:tr>
    </w:tbl>
    <w:p w14:paraId="5721C466"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317"/>
        <w:gridCol w:w="9321"/>
      </w:tblGrid>
      <w:tr w:rsidR="00272C44" w:rsidRPr="00272C44" w14:paraId="47C9D547" w14:textId="77777777" w:rsidTr="00272C44">
        <w:tc>
          <w:tcPr>
            <w:tcW w:w="0" w:type="auto"/>
            <w:shd w:val="clear" w:color="auto" w:fill="auto"/>
            <w:hideMark/>
          </w:tcPr>
          <w:p w14:paraId="45786BB9"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37C97CE9"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le abitazioni con una facciata silenziosa quali definite nell’allegato VI;</w:t>
            </w:r>
          </w:p>
        </w:tc>
      </w:tr>
    </w:tbl>
    <w:p w14:paraId="2507EE72"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956"/>
        <w:gridCol w:w="8682"/>
      </w:tblGrid>
      <w:tr w:rsidR="00272C44" w:rsidRPr="00272C44" w14:paraId="04AF3F8D" w14:textId="77777777" w:rsidTr="00272C44">
        <w:tc>
          <w:tcPr>
            <w:tcW w:w="0" w:type="auto"/>
            <w:shd w:val="clear" w:color="auto" w:fill="auto"/>
            <w:hideMark/>
          </w:tcPr>
          <w:p w14:paraId="3C53433C"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61473AFF"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climi/culture diversi;</w:t>
            </w:r>
          </w:p>
        </w:tc>
      </w:tr>
    </w:tbl>
    <w:p w14:paraId="5225C1D0"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576"/>
        <w:gridCol w:w="9062"/>
      </w:tblGrid>
      <w:tr w:rsidR="00272C44" w:rsidRPr="00272C44" w14:paraId="7234F578" w14:textId="77777777" w:rsidTr="00272C44">
        <w:tc>
          <w:tcPr>
            <w:tcW w:w="0" w:type="auto"/>
            <w:shd w:val="clear" w:color="auto" w:fill="auto"/>
            <w:hideMark/>
          </w:tcPr>
          <w:p w14:paraId="0D892E3E"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62BFC6A8"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gruppi vulnerabili della popolazione;</w:t>
            </w:r>
          </w:p>
        </w:tc>
      </w:tr>
    </w:tbl>
    <w:p w14:paraId="74B9DFA5"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556"/>
        <w:gridCol w:w="9082"/>
      </w:tblGrid>
      <w:tr w:rsidR="00272C44" w:rsidRPr="00272C44" w14:paraId="310C605D" w14:textId="77777777" w:rsidTr="00272C44">
        <w:tc>
          <w:tcPr>
            <w:tcW w:w="0" w:type="auto"/>
            <w:shd w:val="clear" w:color="auto" w:fill="auto"/>
            <w:hideMark/>
          </w:tcPr>
          <w:p w14:paraId="19C5C23E"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52B97D65"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rumore tonale dell’attività industriale;</w:t>
            </w:r>
          </w:p>
        </w:tc>
      </w:tr>
    </w:tbl>
    <w:p w14:paraId="42D98D00" w14:textId="77777777" w:rsidR="00272C44" w:rsidRPr="00272C44" w:rsidRDefault="00272C44" w:rsidP="00272C44">
      <w:pPr>
        <w:shd w:val="clear" w:color="auto" w:fill="FFFFFF"/>
        <w:spacing w:after="0" w:line="240" w:lineRule="auto"/>
        <w:rPr>
          <w:rFonts w:ascii="inherit" w:eastAsia="Times New Roman" w:hAnsi="inherit" w:cs="Times New Roman"/>
          <w:vanish/>
          <w:color w:val="000000"/>
          <w:sz w:val="24"/>
          <w:szCs w:val="24"/>
          <w:lang w:eastAsia="it-IT"/>
        </w:rPr>
      </w:pPr>
    </w:p>
    <w:tbl>
      <w:tblPr>
        <w:tblW w:w="5000" w:type="pct"/>
        <w:tblCellMar>
          <w:left w:w="0" w:type="dxa"/>
          <w:right w:w="0" w:type="dxa"/>
        </w:tblCellMar>
        <w:tblLook w:val="04A0" w:firstRow="1" w:lastRow="0" w:firstColumn="1" w:lastColumn="0" w:noHBand="0" w:noVBand="1"/>
      </w:tblPr>
      <w:tblGrid>
        <w:gridCol w:w="359"/>
        <w:gridCol w:w="9279"/>
      </w:tblGrid>
      <w:tr w:rsidR="00272C44" w:rsidRPr="00272C44" w14:paraId="13F2DE45" w14:textId="77777777" w:rsidTr="00272C44">
        <w:tc>
          <w:tcPr>
            <w:tcW w:w="0" w:type="auto"/>
            <w:shd w:val="clear" w:color="auto" w:fill="auto"/>
            <w:hideMark/>
          </w:tcPr>
          <w:p w14:paraId="2F032233"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w:t>
            </w:r>
          </w:p>
        </w:tc>
        <w:tc>
          <w:tcPr>
            <w:tcW w:w="0" w:type="auto"/>
            <w:shd w:val="clear" w:color="auto" w:fill="auto"/>
            <w:hideMark/>
          </w:tcPr>
          <w:p w14:paraId="2643D944" w14:textId="77777777" w:rsidR="00272C44" w:rsidRPr="00272C44" w:rsidRDefault="00272C44" w:rsidP="00272C44">
            <w:pPr>
              <w:spacing w:before="120" w:after="0" w:line="240" w:lineRule="auto"/>
              <w:jc w:val="both"/>
              <w:rPr>
                <w:rFonts w:ascii="inherit" w:eastAsia="Times New Roman" w:hAnsi="inherit" w:cs="Times New Roman"/>
                <w:sz w:val="24"/>
                <w:szCs w:val="24"/>
                <w:lang w:eastAsia="it-IT"/>
              </w:rPr>
            </w:pPr>
            <w:r w:rsidRPr="00272C44">
              <w:rPr>
                <w:rFonts w:ascii="inherit" w:eastAsia="Times New Roman" w:hAnsi="inherit" w:cs="Times New Roman"/>
                <w:sz w:val="24"/>
                <w:szCs w:val="24"/>
                <w:lang w:eastAsia="it-IT"/>
              </w:rPr>
              <w:t>rumore impulsivo dell’attività industriale e altri casi speciali.</w:t>
            </w:r>
          </w:p>
        </w:tc>
      </w:tr>
    </w:tbl>
    <w:p w14:paraId="6F35E660" w14:textId="77777777" w:rsidR="00336AF8" w:rsidRDefault="00336AF8"/>
    <w:sectPr w:rsidR="00336AF8" w:rsidSect="00EF44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C44"/>
    <w:rsid w:val="00272C44"/>
    <w:rsid w:val="00336AF8"/>
    <w:rsid w:val="0040736E"/>
    <w:rsid w:val="00EF44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758D7"/>
  <w15:chartTrackingRefBased/>
  <w15:docId w15:val="{5F9DC318-30CB-4259-A568-EBB7EA084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576433">
      <w:bodyDiv w:val="1"/>
      <w:marLeft w:val="0"/>
      <w:marRight w:val="0"/>
      <w:marTop w:val="0"/>
      <w:marBottom w:val="0"/>
      <w:divBdr>
        <w:top w:val="none" w:sz="0" w:space="0" w:color="auto"/>
        <w:left w:val="none" w:sz="0" w:space="0" w:color="auto"/>
        <w:bottom w:val="none" w:sz="0" w:space="0" w:color="auto"/>
        <w:right w:val="none" w:sz="0" w:space="0" w:color="auto"/>
      </w:divBdr>
      <w:divsChild>
        <w:div w:id="1800874202">
          <w:marLeft w:val="0"/>
          <w:marRight w:val="0"/>
          <w:marTop w:val="0"/>
          <w:marBottom w:val="0"/>
          <w:divBdr>
            <w:top w:val="none" w:sz="0" w:space="0" w:color="auto"/>
            <w:left w:val="none" w:sz="0" w:space="0" w:color="auto"/>
            <w:bottom w:val="none" w:sz="0" w:space="0" w:color="auto"/>
            <w:right w:val="none" w:sz="0" w:space="0" w:color="auto"/>
          </w:divBdr>
          <w:divsChild>
            <w:div w:id="1490638945">
              <w:marLeft w:val="0"/>
              <w:marRight w:val="0"/>
              <w:marTop w:val="0"/>
              <w:marBottom w:val="0"/>
              <w:divBdr>
                <w:top w:val="none" w:sz="0" w:space="0" w:color="auto"/>
                <w:left w:val="none" w:sz="0" w:space="0" w:color="auto"/>
                <w:bottom w:val="none" w:sz="0" w:space="0" w:color="auto"/>
                <w:right w:val="none" w:sz="0" w:space="0" w:color="auto"/>
              </w:divBdr>
            </w:div>
            <w:div w:id="732119349">
              <w:marLeft w:val="0"/>
              <w:marRight w:val="0"/>
              <w:marTop w:val="0"/>
              <w:marBottom w:val="0"/>
              <w:divBdr>
                <w:top w:val="none" w:sz="0" w:space="0" w:color="auto"/>
                <w:left w:val="none" w:sz="0" w:space="0" w:color="auto"/>
                <w:bottom w:val="none" w:sz="0" w:space="0" w:color="auto"/>
                <w:right w:val="none" w:sz="0" w:space="0" w:color="auto"/>
              </w:divBdr>
              <w:divsChild>
                <w:div w:id="897201531">
                  <w:marLeft w:val="0"/>
                  <w:marRight w:val="0"/>
                  <w:marTop w:val="0"/>
                  <w:marBottom w:val="0"/>
                  <w:divBdr>
                    <w:top w:val="none" w:sz="0" w:space="0" w:color="auto"/>
                    <w:left w:val="none" w:sz="0" w:space="0" w:color="auto"/>
                    <w:bottom w:val="none" w:sz="0" w:space="0" w:color="auto"/>
                    <w:right w:val="none" w:sz="0" w:space="0" w:color="auto"/>
                  </w:divBdr>
                </w:div>
                <w:div w:id="1012684747">
                  <w:marLeft w:val="0"/>
                  <w:marRight w:val="0"/>
                  <w:marTop w:val="0"/>
                  <w:marBottom w:val="0"/>
                  <w:divBdr>
                    <w:top w:val="none" w:sz="0" w:space="0" w:color="auto"/>
                    <w:left w:val="none" w:sz="0" w:space="0" w:color="auto"/>
                    <w:bottom w:val="none" w:sz="0" w:space="0" w:color="auto"/>
                    <w:right w:val="none" w:sz="0" w:space="0" w:color="auto"/>
                  </w:divBdr>
                </w:div>
              </w:divsChild>
            </w:div>
            <w:div w:id="798187634">
              <w:marLeft w:val="0"/>
              <w:marRight w:val="0"/>
              <w:marTop w:val="0"/>
              <w:marBottom w:val="0"/>
              <w:divBdr>
                <w:top w:val="none" w:sz="0" w:space="0" w:color="auto"/>
                <w:left w:val="none" w:sz="0" w:space="0" w:color="auto"/>
                <w:bottom w:val="none" w:sz="0" w:space="0" w:color="auto"/>
                <w:right w:val="none" w:sz="0" w:space="0" w:color="auto"/>
              </w:divBdr>
            </w:div>
            <w:div w:id="730618348">
              <w:marLeft w:val="0"/>
              <w:marRight w:val="0"/>
              <w:marTop w:val="0"/>
              <w:marBottom w:val="0"/>
              <w:divBdr>
                <w:top w:val="none" w:sz="0" w:space="0" w:color="auto"/>
                <w:left w:val="none" w:sz="0" w:space="0" w:color="auto"/>
                <w:bottom w:val="none" w:sz="0" w:space="0" w:color="auto"/>
                <w:right w:val="none" w:sz="0" w:space="0" w:color="auto"/>
              </w:divBdr>
            </w:div>
            <w:div w:id="2008482322">
              <w:marLeft w:val="810"/>
              <w:marRight w:val="810"/>
              <w:marTop w:val="360"/>
              <w:marBottom w:val="0"/>
              <w:divBdr>
                <w:top w:val="none" w:sz="0" w:space="0" w:color="auto"/>
                <w:left w:val="none" w:sz="0" w:space="0" w:color="auto"/>
                <w:bottom w:val="none" w:sz="0" w:space="0" w:color="auto"/>
                <w:right w:val="none" w:sz="0" w:space="0" w:color="auto"/>
              </w:divBdr>
              <w:divsChild>
                <w:div w:id="1705327133">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1222908960">
          <w:marLeft w:val="0"/>
          <w:marRight w:val="0"/>
          <w:marTop w:val="0"/>
          <w:marBottom w:val="0"/>
          <w:divBdr>
            <w:top w:val="none" w:sz="0" w:space="0" w:color="auto"/>
            <w:left w:val="none" w:sz="0" w:space="0" w:color="auto"/>
            <w:bottom w:val="none" w:sz="0" w:space="0" w:color="auto"/>
            <w:right w:val="none" w:sz="0" w:space="0" w:color="auto"/>
          </w:divBdr>
          <w:divsChild>
            <w:div w:id="225338917">
              <w:marLeft w:val="0"/>
              <w:marRight w:val="0"/>
              <w:marTop w:val="0"/>
              <w:marBottom w:val="0"/>
              <w:divBdr>
                <w:top w:val="none" w:sz="0" w:space="0" w:color="auto"/>
                <w:left w:val="none" w:sz="0" w:space="0" w:color="auto"/>
                <w:bottom w:val="none" w:sz="0" w:space="0" w:color="auto"/>
                <w:right w:val="none" w:sz="0" w:space="0" w:color="auto"/>
              </w:divBdr>
              <w:divsChild>
                <w:div w:id="475343478">
                  <w:marLeft w:val="0"/>
                  <w:marRight w:val="0"/>
                  <w:marTop w:val="0"/>
                  <w:marBottom w:val="0"/>
                  <w:divBdr>
                    <w:top w:val="none" w:sz="0" w:space="0" w:color="auto"/>
                    <w:left w:val="none" w:sz="0" w:space="0" w:color="auto"/>
                    <w:bottom w:val="none" w:sz="0" w:space="0" w:color="auto"/>
                    <w:right w:val="none" w:sz="0" w:space="0" w:color="auto"/>
                  </w:divBdr>
                  <w:divsChild>
                    <w:div w:id="2034068605">
                      <w:marLeft w:val="0"/>
                      <w:marRight w:val="0"/>
                      <w:marTop w:val="0"/>
                      <w:marBottom w:val="0"/>
                      <w:divBdr>
                        <w:top w:val="none" w:sz="0" w:space="0" w:color="auto"/>
                        <w:left w:val="none" w:sz="0" w:space="0" w:color="auto"/>
                        <w:bottom w:val="none" w:sz="0" w:space="0" w:color="auto"/>
                        <w:right w:val="none" w:sz="0" w:space="0" w:color="auto"/>
                      </w:divBdr>
                      <w:divsChild>
                        <w:div w:id="6194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IT/TXT/HTML/?uri=CELEX:32020L0367&amp;from=IT"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hyperlink" Target="https://eur-lex.europa.eu/legal-content/IT/AUTO/?uri=OJ:L:2002:189:TOC" TargetMode="Externa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ur-lex.europa.eu/legal-content/IT/TXT/HTML/?uri=CELEX:32020L0367&amp;from=IT" TargetMode="External"/><Relationship Id="rId11" Type="http://schemas.openxmlformats.org/officeDocument/2006/relationships/image" Target="media/image3.jpeg"/><Relationship Id="rId5" Type="http://schemas.openxmlformats.org/officeDocument/2006/relationships/hyperlink" Target="https://eur-lex.europa.eu/legal-content/IT/TXT/HTML/?uri=CELEX:32020L0367&amp;from=IT" TargetMode="Externa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hyperlink" Target="https://eur-lex.europa.eu/legal-content/IT/TXT/HTML/?uri=CELEX:32020L0367&amp;from=IT" TargetMode="Externa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1660</Words>
  <Characters>9462</Characters>
  <Application>Microsoft Office Word</Application>
  <DocSecurity>0</DocSecurity>
  <Lines>78</Lines>
  <Paragraphs>22</Paragraphs>
  <ScaleCrop>false</ScaleCrop>
  <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dc:description/>
  <cp:lastModifiedBy>PAOLO BENNI</cp:lastModifiedBy>
  <cp:revision>2</cp:revision>
  <dcterms:created xsi:type="dcterms:W3CDTF">2022-02-15T11:07:00Z</dcterms:created>
  <dcterms:modified xsi:type="dcterms:W3CDTF">2022-02-15T11:07:00Z</dcterms:modified>
</cp:coreProperties>
</file>