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120"/>
      </w:pPr>
      <w:r>
        <w:rPr>
          <w:b/>
          <w:sz w:val="34"/>
          <w:szCs w:val="34"/>
        </w:rPr>
        <w:t xml:space="preserve">Demo solventi reparto miscelazione</w:t>
      </w:r>
    </w:p>
    <w:p>
      <w:pPr/>
      <w:r>
        <w:rPr>
          <w:color w:val="334155"/>
        </w:rPr>
        <w:t xml:space="preserve">Codice pratica: AUTO</w:t>
      </w:r>
    </w:p>
    <w:p>
      <w:pPr/>
      <w:r>
        <w:rPr>
          <w:color w:val="334155"/>
        </w:rPr>
        <w:t xml:space="preserve">Data valutazione: 2026-03-11</w:t>
      </w:r>
    </w:p>
    <w:p>
      <w:pPr>
        <w:spacing w:after="160"/>
      </w:pPr>
      <w:r>
        <w:rPr>
          <w:color w:val="334155"/>
        </w:rPr>
        <w:t xml:space="preserve">Azienda: Industria Demo S.p.A. • Reparto: Reparto miscelazione / lavaggio linee</w:t>
      </w:r>
    </w:p>
    <w:p>
      <w:pPr/>
      <w:r>
        <w:rPr>
          <w:b/>
          <w:sz w:val="28"/>
          <w:szCs w:val="28"/>
        </w:rPr>
        <w:t xml:space="preserve">Esito workflow UNI EN 689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233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20"/>
                <w:szCs w:val="20"/>
              </w:rPr>
              <w:t xml:space="preserve">Fase</w:t>
            </w:r>
          </w:p>
        </w:tc>
        <w:tc>
          <w:tcPr>
            <w:tcW w:w="233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20"/>
                <w:szCs w:val="20"/>
              </w:rPr>
              <w:t xml:space="preserve">Esito</w:t>
            </w:r>
          </w:p>
        </w:tc>
        <w:tc>
          <w:tcPr>
            <w:tcW w:w="506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20"/>
                <w:szCs w:val="20"/>
              </w:rPr>
              <w:t xml:space="preserve">Note</w:t>
            </w:r>
          </w:p>
        </w:tc>
      </w:tr>
      <w:tr>
        <w:tc>
          <w:tcPr>
            <w:tcW w:w="2339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Caratterizzazione di base</w:t>
            </w:r>
          </w:p>
        </w:tc>
        <w:tc>
          <w:tcPr>
            <w:tcW w:w="2339" w:type="dxa"/>
            <w:shd w:fill="E0E7FF"/>
            <w:vAlign w:val="center"/>
          </w:tcPr>
          <w:p>
            <w:pPr>
              <w:spacing w:line="300" w:lineRule="auto"/>
            </w:pPr>
            <w:r>
              <w:rPr>
                <w:b/>
                <w:color w:val="4338CA"/>
                <w:sz w:val="20"/>
                <w:szCs w:val="20"/>
              </w:rPr>
              <w:t xml:space="preserve">Informazioni insufficienti</w:t>
            </w:r>
          </w:p>
        </w:tc>
        <w:tc>
          <w:tcPr>
            <w:tcW w:w="5068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Informazioni iniziali utili ma non sufficienti per escludere misure. Si procede con piano di campionamento personale.</w:t>
            </w:r>
          </w:p>
        </w:tc>
      </w:tr>
      <w:tr>
        <w:tc>
          <w:tcPr>
            <w:tcW w:w="2339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Misurazioni / confronto OELV</w:t>
            </w:r>
          </w:p>
        </w:tc>
        <w:tc>
          <w:tcPr>
            <w:tcW w:w="2339" w:type="dxa"/>
            <w:shd w:fill="FEF3C7"/>
            <w:vAlign w:val="center"/>
          </w:tcPr>
          <w:p>
            <w:pPr>
              <w:spacing w:line="300" w:lineRule="auto"/>
            </w:pPr>
            <w:r>
              <w:rPr>
                <w:b/>
                <w:color w:val="92400E"/>
                <w:sz w:val="20"/>
                <w:szCs w:val="20"/>
              </w:rPr>
              <w:t xml:space="preserve">Nessuna decisione</w:t>
            </w:r>
          </w:p>
        </w:tc>
        <w:tc>
          <w:tcPr>
            <w:tcW w:w="5068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Il test preliminare richiede misure aggiuntive fino ad almeno 6 campioni per il test statistico.</w:t>
            </w:r>
          </w:p>
        </w:tc>
      </w:tr>
      <w:tr>
        <w:tc>
          <w:tcPr>
            <w:tcW w:w="2339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Azione successiva</w:t>
            </w:r>
          </w:p>
        </w:tc>
        <w:tc>
          <w:tcPr>
            <w:tcW w:w="2339" w:type="dxa"/>
            <w:shd w:fill="FEF3C7"/>
            <w:vAlign w:val="center"/>
          </w:tcPr>
          <w:p>
            <w:pPr>
              <w:spacing w:line="300" w:lineRule="auto"/>
            </w:pPr>
            <w:r>
              <w:rPr>
                <w:b/>
                <w:color w:val="92400E"/>
                <w:sz w:val="20"/>
                <w:szCs w:val="20"/>
              </w:rPr>
              <w:t xml:space="preserve">Sviluppare il piano di campionamento</w:t>
            </w:r>
          </w:p>
        </w:tc>
        <w:tc>
          <w:tcPr>
            <w:tcW w:w="5068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Integrare la serie di misure, validare il SEG e completare il percorso statistico.</w:t>
            </w:r>
          </w:p>
        </w:tc>
      </w:tr>
    </w:tbl>
    <w:p>
      <w:pPr>
        <w:spacing w:after="160"/>
      </w:pPr>
      <w:r>
        <w:rPr>
          <w:color w:val="475569"/>
        </w:rPr>
        <w:t xml:space="preserve">Le informazioni disponibili non sono ancora sufficienti per una decisione definitiva. Occorre pianificare o integrare il campionamento, validare il SEG, confermare la rappresentatività dei dati e passare al test statistico quando le misure sono almeno 6.</w:t>
      </w:r>
    </w:p>
    <w:p>
      <w:pPr/>
      <w:r>
        <w:rPr>
          <w:b/>
          <w:sz w:val="28"/>
          <w:szCs w:val="28"/>
        </w:rPr>
        <w:t xml:space="preserve">Dati generali valutazione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Titolo valutazione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Demo solventi reparto miscelazione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Azienda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Industria Demo S.p.A.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Stabilimento / reparto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Reparto miscelazione / lavaggio linee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Valutatore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Team HSE + igienista industriale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Società misure / laboratorio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Laboratorio demo / consulenza igiene industriale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SEG / gruppo di esposizione similare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SEG-SOLV-01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Data valutazione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2026-03-11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Durata turno (ore)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8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Numero lavoratori nel SEG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Campioni suggeriti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7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Nota campioni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Tabella Manuale 208 • copertura 80% • α 0.1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Note contesto / processo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Sistema misto con operazioni a ciclo semiaperto, aspirazione localizzata, fasi di lavaggio e travaso. Dati inseriti a scopo dimostrativo.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La valutazione iniziale dell’esposizione e le rivalutazioni periodiche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350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Campo</w:t>
            </w:r>
          </w:p>
        </w:tc>
        <w:tc>
          <w:tcPr>
            <w:tcW w:w="623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Fonti dati e identificazione agenti chimici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Inventari prodotti, SDS aggiornate, DVR, interviste operatori, storico campagne e sopralluogo in reparto.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Fattori e condizioni di lavoro / processo / postazioni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Operazioni di travaso e lavaggio con aspirazione localizzata, ventilazione generale, procedure standard e uso DPI.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Variazione con ora del giorno, stagione, turni e condizioni meteo-climatiche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Maggiore variabilità in avvio turno e in lavaggi intensivi; estate con maggiore volatilità dei solventi.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Scenari di esposizione e casi particolari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Condizioni abbastanza stabili ma con fasi emissive ripetute durante travaso e pulizia linee.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Storico misure, eventi anomali, prossimità a OELV e modifiche previste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Nessun superamento storico del TLV, alcuni valori vicini al 50% OEL per i solventi aromatici.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Misurazioni necessarie?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Sì, necessarie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Esito caratterizzazione di base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Informazioni insufficienti / piano di campionamento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Motivazione esito / cut-off iniziale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Informazioni iniziali utili ma non sufficienti per escludere misure. Si procede con piano di campionamento personale.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Programma RMM / misure di gestione del rischio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Mantenere aspirazioni, verificare tenuta sistemi chiusi, presidiare pulizie e travasi, formazione operatori.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Costituzione SEG, strategia di misurazione e validazione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350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Campo</w:t>
            </w:r>
          </w:p>
        </w:tc>
        <w:tc>
          <w:tcPr>
            <w:tcW w:w="623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Base di costituzione del SEG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SEG costruito su mansioni omogenee di miscelazione, travaso e lavaggio con frequenza e modalità operative comparabili.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Stato validazione SEG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Validato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Tipo campionamento prevalente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Personale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Numero giornate campagna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Numero campioni / SEG pianificati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6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Motivo uso campionamento statico / campioni in bianco / note rappresentatività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Campioni statici usati solo come supporto per ricerca sorgenti e controllo ambientale di contorno.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Durata campionamenti e periodo di riferimento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Campioni personali su turno intero; eventuali approfondimenti brevi su fasi specifiche.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Agenti da monitorare, strumentazione, procedura, laboratorio, incertezza estesa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Pompe personali, supporti adsorbenti, analisi GC/FID, laboratorio qualificato, incertezza estesa documentata nel rapporto.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Aggregazione dati campagne diverse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Parziale / da validare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Note aggregazione, validazione risultati, distribuzione e outlier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Serie dati coerente con il SEG; nessun outlier anomalo da escludere; verificata rappresentatività delle due giornate.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Resoconto formale, confronto con OELV e azioni correttive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350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Campo</w:t>
            </w:r>
          </w:p>
        </w:tc>
        <w:tc>
          <w:tcPr>
            <w:tcW w:w="623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Osservazioni di campionamento e descrizione delle misure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Durante la campagna i travasi sono stati eseguiti in condizioni ordinarie e i lavoratori informati sul monitoraggio personale.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Note di confronto con OELV, validazione risultati ed esposizioni eccezionali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Previsto confronto con OELV per singolo agente e IE totale per esposizione contemporanea a solventi del SNC.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Misure correttive / ragioni della non conformità / piano di miglioramento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In caso di non conformità ripetere la caratterizzazione di base e rafforzare aspirazioni, confinamento e procedure di lavaggio.</w:t>
            </w:r>
          </w:p>
        </w:tc>
      </w:tr>
      <w:tr>
        <w:tc>
          <w:tcPr>
            <w:tcW w:w="350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Riesame annuale, modifiche significative e note finali di rivalutazione</w:t>
            </w:r>
          </w:p>
        </w:tc>
        <w:tc>
          <w:tcPr>
            <w:tcW w:w="62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Riesame annuale delle condizioni e rivalutazione immediata in caso di modifiche impianto o materie prime.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Impostazioni analisi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Modalità distribuzione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Auto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Rivalutazione statistica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Tendenza centrale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Copertura estrazione SEG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80% copertura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Errore decisione α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0,10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Uso matrice rischio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Attiva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Gestione ND / LOQ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Valore operativo / LOQ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KPI di sintesi</w:t>
      </w:r>
    </w:p>
    <w:p>
      <w:pPr>
        <w:jc w:val="center"/>
      </w:pPr>
      <w:r>
        <w:drawing>
          <wp:inline distT="0" distB="0" distL="0" distR="0">
            <wp:extent cx="5760000" cy="1479600"/>
            <wp:docPr id="1" name="KPI di sintes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PI di sintesi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7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3703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20"/>
                <w:szCs w:val="20"/>
              </w:rPr>
              <w:t xml:space="preserve">Indicatore</w:t>
            </w:r>
          </w:p>
        </w:tc>
        <w:tc>
          <w:tcPr>
            <w:tcW w:w="6043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20"/>
                <w:szCs w:val="20"/>
              </w:rPr>
              <w:t xml:space="preserve">Valore</w:t>
            </w:r>
          </w:p>
        </w:tc>
      </w:tr>
      <w:tr>
        <w:tc>
          <w:tcPr>
            <w:tcW w:w="370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Agenti valutati</w:t>
            </w:r>
          </w:p>
        </w:tc>
        <w:tc>
          <w:tcPr>
            <w:tcW w:w="604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c>
          <w:tcPr>
            <w:tcW w:w="370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Conformi</w:t>
            </w:r>
          </w:p>
        </w:tc>
        <w:tc>
          <w:tcPr>
            <w:tcW w:w="604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</w:t>
            </w:r>
          </w:p>
        </w:tc>
      </w:tr>
      <w:tr>
        <w:tc>
          <w:tcPr>
            <w:tcW w:w="370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Picco rapporto / OEL</w:t>
            </w:r>
          </w:p>
        </w:tc>
        <w:tc>
          <w:tcPr>
            <w:tcW w:w="604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38.0%</w:t>
            </w:r>
          </w:p>
        </w:tc>
      </w:tr>
      <w:tr>
        <w:tc>
          <w:tcPr>
            <w:tcW w:w="370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Indice IE totale</w:t>
            </w:r>
          </w:p>
        </w:tc>
        <w:tc>
          <w:tcPr>
            <w:tcW w:w="604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0.81</w:t>
            </w:r>
          </w:p>
        </w:tc>
      </w:tr>
      <w:tr>
        <w:tc>
          <w:tcPr>
            <w:tcW w:w="370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Prossima rivalutazione</w:t>
            </w:r>
          </w:p>
        </w:tc>
        <w:tc>
          <w:tcPr>
            <w:tcW w:w="604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12 mesi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Grafico esposizione sintetica</w:t>
      </w:r>
    </w:p>
    <w:p>
      <w:pPr>
        <w:jc w:val="center"/>
      </w:pPr>
      <w:r>
        <w:drawing>
          <wp:inline distT="0" distB="0" distL="0" distR="0">
            <wp:extent cx="5760000" cy="1317600"/>
            <wp:docPr id="2" name="Grafico esposizione sintetic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fico esposizione sintetica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3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Esiti sintetici per agente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175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Agente</w:t>
            </w:r>
          </w:p>
        </w:tc>
        <w:tc>
          <w:tcPr>
            <w:tcW w:w="58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n</w:t>
            </w:r>
          </w:p>
        </w:tc>
        <w:tc>
          <w:tcPr>
            <w:tcW w:w="116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Distribuzione</w:t>
            </w:r>
          </w:p>
        </w:tc>
        <w:tc>
          <w:tcPr>
            <w:tcW w:w="136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Decisione</w:t>
            </w:r>
          </w:p>
        </w:tc>
        <w:tc>
          <w:tcPr>
            <w:tcW w:w="136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Metrica centrale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Rapporto/OEL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UR / UT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UTL95,70</w:t>
            </w:r>
          </w:p>
        </w:tc>
        <w:tc>
          <w:tcPr>
            <w:tcW w:w="58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Rivalutazione</w:t>
            </w:r>
          </w:p>
        </w:tc>
      </w:tr>
      <w:tr>
        <w:tc>
          <w:tcPr>
            <w:tcW w:w="175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Toluene</w:t>
            </w:r>
          </w:p>
        </w:tc>
        <w:tc>
          <w:tcPr>
            <w:tcW w:w="58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16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Normale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Conformità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19.0 ppm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38.0%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8.665 / 2.187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26.8 ppm</w:t>
            </w:r>
          </w:p>
        </w:tc>
        <w:tc>
          <w:tcPr>
            <w:tcW w:w="58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18 mesi</w:t>
            </w:r>
          </w:p>
        </w:tc>
      </w:tr>
      <w:tr>
        <w:tc>
          <w:tcPr>
            <w:tcW w:w="175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Xileni misti</w:t>
            </w:r>
          </w:p>
        </w:tc>
        <w:tc>
          <w:tcPr>
            <w:tcW w:w="58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w="116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Normale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Nessuna decisione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26.5 ppm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26.5%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58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</w:tr>
      <w:tr>
        <w:tc>
          <w:tcPr>
            <w:tcW w:w="175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Formaldeide</w:t>
            </w:r>
          </w:p>
        </w:tc>
        <w:tc>
          <w:tcPr>
            <w:tcW w:w="58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w="116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Normale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Conformità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0.05 ppm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16.7%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17.678 / 2.187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0.08 ppm</w:t>
            </w:r>
          </w:p>
        </w:tc>
        <w:tc>
          <w:tcPr>
            <w:tcW w:w="58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12 mesi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Esposizione contemporanea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175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Gruppo / effetto</w:t>
            </w:r>
          </w:p>
        </w:tc>
        <w:tc>
          <w:tcPr>
            <w:tcW w:w="5067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Agenti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Indice</w:t>
            </w:r>
          </w:p>
        </w:tc>
        <w:tc>
          <w:tcPr>
            <w:tcW w:w="1951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Esito</w:t>
            </w:r>
          </w:p>
        </w:tc>
      </w:tr>
      <w:tr>
        <w:tc>
          <w:tcPr>
            <w:tcW w:w="175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IE totale</w:t>
            </w:r>
          </w:p>
        </w:tc>
        <w:tc>
          <w:tcPr>
            <w:tcW w:w="506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Toluene, Xileni misti, Formaldeide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0.81</w:t>
            </w:r>
          </w:p>
        </w:tc>
        <w:tc>
          <w:tcPr>
            <w:tcW w:w="1951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≤ 1</w:t>
            </w:r>
          </w:p>
        </w:tc>
      </w:tr>
      <w:tr>
        <w:tc>
          <w:tcPr>
            <w:tcW w:w="175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SNC</w:t>
            </w:r>
          </w:p>
        </w:tc>
        <w:tc>
          <w:tcPr>
            <w:tcW w:w="506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Toluene, Xileni misti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0.65</w:t>
            </w:r>
          </w:p>
        </w:tc>
        <w:tc>
          <w:tcPr>
            <w:tcW w:w="1951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≤ 1</w:t>
            </w:r>
          </w:p>
        </w:tc>
      </w:tr>
      <w:tr>
        <w:tc>
          <w:tcPr>
            <w:tcW w:w="175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Irritazione vie aeree</w:t>
            </w:r>
          </w:p>
        </w:tc>
        <w:tc>
          <w:tcPr>
            <w:tcW w:w="506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Formaldeide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0.17</w:t>
            </w:r>
          </w:p>
        </w:tc>
        <w:tc>
          <w:tcPr>
            <w:tcW w:w="1951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≤ 1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8"/>
          <w:szCs w:val="28"/>
        </w:rPr>
        <w:t xml:space="preserve">Scheda agente 1 • Toluene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Nome agente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Toluene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CAS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108-88-3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OEL / VLEP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50.0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Unità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Fonte OEL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Demo / configurabile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Tipo OEL / riferimento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Lungo termine / TWA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Severità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4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Organo / effetto additivo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SNC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Campionamento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Personale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Metodo / laboratorio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GC/FID - laboratorio demo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Strumentazione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Pompa personale + tubo adsorbente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Incertezza estesa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25.0%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Stato validazione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Validato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CMR / attenzione elevata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Agente selezionato nei grafici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Sì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Calcoli e decisione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Percorso decisionale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Test statistico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Distribuzione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Normale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Decisione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Conformità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Numero misure valide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6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AM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19.0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SD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3.58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GM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18.7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GSD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1.211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Metrica centrale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19.0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Rapporto / OEL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38.0%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UR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8.665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UT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2.187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UTL95,70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26.8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Frazione j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Banda di esposizione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 • 0,25–0,5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Rivalutazione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18 mesi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Note validazione / esposizioni eccezionali / outlier</w:t>
      </w:r>
    </w:p>
    <w:p>
      <w:pPr>
        <w:spacing w:after="120"/>
      </w:pPr>
      <w:r>
        <w:rPr>
          <w:color w:val="475569"/>
        </w:rPr>
        <w:t xml:space="preserve">Serie omogenea, nessuna esposizione eccezionale rilevata.</w:t>
      </w:r>
    </w:p>
    <w:p>
      <w:pPr/>
      <w:r>
        <w:rPr>
          <w:b/>
          <w:sz w:val="24"/>
          <w:szCs w:val="24"/>
        </w:rPr>
        <w:t xml:space="preserve">Azioni correttive / RMM per l’agente</w:t>
      </w:r>
    </w:p>
    <w:p>
      <w:pPr>
        <w:spacing w:after="120"/>
      </w:pPr>
      <w:r>
        <w:rPr>
          <w:color w:val="475569"/>
        </w:rPr>
        <w:t xml:space="preserve">Verifica periodica delle aspirazioni e chiusura dei contenitori durante i travasi.</w:t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Misure inserite e valori usati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Etichetta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</w:t>
            </w:r>
          </w:p>
        </w:tc>
        <w:tc>
          <w:tcPr>
            <w:tcW w:w="77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&lt;LOQ</w:t>
            </w:r>
          </w:p>
        </w:tc>
        <w:tc>
          <w:tcPr>
            <w:tcW w:w="877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LOQ</w:t>
            </w:r>
          </w:p>
        </w:tc>
        <w:tc>
          <w:tcPr>
            <w:tcW w:w="136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 operativo</w:t>
            </w:r>
          </w:p>
        </w:tc>
        <w:tc>
          <w:tcPr>
            <w:tcW w:w="1266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 usato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Durata (h)</w:t>
            </w:r>
          </w:p>
        </w:tc>
        <w:tc>
          <w:tcPr>
            <w:tcW w:w="253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Nota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T1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14.0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14.0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turno intero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T2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18.0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18.0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turno intero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T3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22.0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22.0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turno intero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T4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17.0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17.0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turno intero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T5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19.0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19.0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turno intero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T6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24.0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24.0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turno intero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Grafico misure • Toluene</w:t>
      </w:r>
    </w:p>
    <w:p>
      <w:pPr>
        <w:jc w:val="center"/>
      </w:pPr>
      <w:r>
        <w:drawing>
          <wp:inline distT="0" distB="0" distL="0" distR="0">
            <wp:extent cx="5760000" cy="2138400"/>
            <wp:docPr id="3" name="Grafico misure • Tolue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fico misure • Toluen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Matrice rischio gestionale • Toluene</w:t>
      </w:r>
    </w:p>
    <w:p>
      <w:pPr>
        <w:jc w:val="center"/>
      </w:pPr>
      <w:r>
        <w:drawing>
          <wp:inline distT="0" distB="0" distL="0" distR="0">
            <wp:extent cx="5760000" cy="2880000"/>
            <wp:docPr id="4" name="Matrice rischio gestionale • Tolue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rice rischio gestionale • Toluen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Matrice rivalutazione • Toluene</w:t>
      </w:r>
    </w:p>
    <w:p>
      <w:pPr>
        <w:jc w:val="center"/>
      </w:pPr>
      <w:r>
        <w:drawing>
          <wp:inline distT="0" distB="0" distL="0" distR="0">
            <wp:extent cx="5760000" cy="1767600"/>
            <wp:docPr id="5" name="Matrice rivalutazione • Toluen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rice rivalutazione • Toluen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Warning</w:t>
      </w:r>
    </w:p>
    <w:p>
      <w:pPr/>
      <w:r>
        <w:rPr>
          <w:color w:val="92400E"/>
        </w:rPr>
        <w:t xml:space="preserve">• Incertezza estesa dichiarata: 25.0%. Riportarla nel resoconto.</w:t>
      </w:r>
    </w:p>
    <w:p>
      <w:pPr>
        <w:spacing w:after="120"/>
      </w:pPr>
      <w:r>
        <w:rPr/>
        <w:t xml:space="preserve"> </w:t>
      </w:r>
    </w:p>
    <w:p>
      <w:r>
        <w:br w:type="page"/>
      </w:r>
    </w:p>
    <w:p>
      <w:pPr/>
      <w:r>
        <w:rPr>
          <w:b/>
          <w:sz w:val="28"/>
          <w:szCs w:val="28"/>
        </w:rPr>
        <w:t xml:space="preserve">Scheda agente 2 • Xileni misti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Nome agente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Xileni misti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CAS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1330-20-7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OEL / VLEP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100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Unità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Fonte OEL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Demo / configurabile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Tipo OEL / riferimento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Lungo termine / TWA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Severità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Organo / effetto additivo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SNC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Campionamento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Personale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Metodo / laboratorio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GC/FID - laboratorio demo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Strumentazione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Pompa personale + tubo adsorbente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Incertezza estesa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25.0%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Stato validazione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Validato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CMR / attenzione elevata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Agente selezionato nei grafici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Calcoli e decisione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Percorso decisionale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Test preliminare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Distribuzione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Normale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Decisione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Nessuna decisione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Numero misure valide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4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AM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26.5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SD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4.65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GM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26.2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GSD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1.195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Metrica centrale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26.5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Rapporto / OEL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26.5%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UR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UT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UTL95,70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Frazione j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Banda di esposizione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 • 0,25–0,5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Rivalutazione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Note validazione / esposizioni eccezionali / outlier</w:t>
      </w:r>
    </w:p>
    <w:p>
      <w:pPr>
        <w:spacing w:after="120"/>
      </w:pPr>
      <w:r>
        <w:rPr>
          <w:color w:val="475569"/>
        </w:rPr>
        <w:t xml:space="preserve">SEG confermato su mansione omogenea di miscelazione.</w:t>
      </w:r>
    </w:p>
    <w:p>
      <w:pPr/>
      <w:r>
        <w:rPr>
          <w:b/>
          <w:sz w:val="24"/>
          <w:szCs w:val="24"/>
        </w:rPr>
        <w:t xml:space="preserve">Azioni correttive / RMM per l’agente</w:t>
      </w:r>
    </w:p>
    <w:p>
      <w:pPr>
        <w:spacing w:after="120"/>
      </w:pPr>
      <w:r>
        <w:rPr>
          <w:color w:val="475569"/>
        </w:rPr>
        <w:t xml:space="preserve">Mantenere procedure di lavaggio e ventilazione generale.</w:t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Misure inserite e valori usati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Etichetta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</w:t>
            </w:r>
          </w:p>
        </w:tc>
        <w:tc>
          <w:tcPr>
            <w:tcW w:w="77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&lt;LOQ</w:t>
            </w:r>
          </w:p>
        </w:tc>
        <w:tc>
          <w:tcPr>
            <w:tcW w:w="877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LOQ</w:t>
            </w:r>
          </w:p>
        </w:tc>
        <w:tc>
          <w:tcPr>
            <w:tcW w:w="136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 operativo</w:t>
            </w:r>
          </w:p>
        </w:tc>
        <w:tc>
          <w:tcPr>
            <w:tcW w:w="1266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 usato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Durata (h)</w:t>
            </w:r>
          </w:p>
        </w:tc>
        <w:tc>
          <w:tcPr>
            <w:tcW w:w="253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Nota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X1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21.0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21.0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campione personale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X2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28.0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28.0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campione personale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X3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25.0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25.0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campione personale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X4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32.0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32.0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8.00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campione personale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Grafico misure • Xileni misti</w:t>
      </w:r>
    </w:p>
    <w:p>
      <w:pPr>
        <w:jc w:val="center"/>
      </w:pPr>
      <w:r>
        <w:drawing>
          <wp:inline distT="0" distB="0" distL="0" distR="0">
            <wp:extent cx="5760000" cy="2138400"/>
            <wp:docPr id="6" name="Grafico misure • Xileni mist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fico misure • Xileni misti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Matrice rischio gestionale • Xileni misti</w:t>
      </w:r>
    </w:p>
    <w:p>
      <w:pPr>
        <w:jc w:val="center"/>
      </w:pPr>
      <w:r>
        <w:drawing>
          <wp:inline distT="0" distB="0" distL="0" distR="0">
            <wp:extent cx="5760000" cy="2880000"/>
            <wp:docPr id="7" name="Matrice rischio gestionale • Xileni mist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rice rischio gestionale • Xileni misti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Matrice rivalutazione • Xileni misti</w:t>
      </w:r>
    </w:p>
    <w:p>
      <w:pPr>
        <w:jc w:val="center"/>
      </w:pPr>
      <w:r>
        <w:drawing>
          <wp:inline distT="0" distB="0" distL="0" distR="0">
            <wp:extent cx="5760000" cy="1767600"/>
            <wp:docPr id="8" name="Matrice rivalutazione • Xileni mist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rice rivalutazione • Xileni misti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Warning</w:t>
      </w:r>
    </w:p>
    <w:p>
      <w:pPr/>
      <w:r>
        <w:rPr>
          <w:color w:val="92400E"/>
        </w:rPr>
        <w:t xml:space="preserve">• Incertezza estesa dichiarata: 25.0%. Riportarla nel resoconto.</w:t>
      </w:r>
    </w:p>
    <w:p>
      <w:pPr>
        <w:spacing w:after="120"/>
      </w:pPr>
      <w:r>
        <w:rPr/>
        <w:t xml:space="preserve"> </w:t>
      </w:r>
    </w:p>
    <w:p>
      <w:r>
        <w:br w:type="page"/>
      </w:r>
    </w:p>
    <w:p>
      <w:pPr/>
      <w:r>
        <w:rPr>
          <w:b/>
          <w:sz w:val="28"/>
          <w:szCs w:val="28"/>
        </w:rPr>
        <w:t xml:space="preserve">Scheda agente 3 • Formaldeide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Nome agente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Formaldeide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CAS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50-00-0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OEL / VLEP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0.30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Unità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Fonte OEL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Demo / configurabile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Tipo OEL / riferimento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Breve termine 15 min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Severità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5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Organo / effetto additivo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Irritazione vie aeree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Campionamento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Personale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Metodo / laboratorio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Cartuccia DNPH / HPLC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Strumentazione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Campionatore personale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Incertezza estesa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30.0%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Stato validazione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Validato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CMR / attenzione elevata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Sì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Agente selezionato nei grafici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Calcoli e decisione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Percorso decisionale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Test statistico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Distribuzione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Normale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Decisione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Conformità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Numero misure valide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6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AM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0.05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SD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0.01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GM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0.05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GSD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1.350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Metrica centrale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0.05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Rapporto / OEL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16.7%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UR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17.678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UT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2.187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UTL95,70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0.08 ppm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Frazione j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Banda di esposizione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2 • 0,1–0,25</w:t>
            </w:r>
          </w:p>
        </w:tc>
      </w:tr>
      <w:tr>
        <w:tc>
          <w:tcPr>
            <w:tcW w:w="29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Rivalutazione</w:t>
            </w:r>
          </w:p>
        </w:tc>
        <w:tc>
          <w:tcPr>
            <w:tcW w:w="6823" w:type="dxa"/>
            <w:vAlign w:val="center"/>
          </w:tcPr>
          <w:p>
            <w:pPr>
              <w:spacing w:line="300" w:lineRule="auto"/>
            </w:pPr>
            <w:r>
              <w:rPr>
                <w:sz w:val="20"/>
                <w:szCs w:val="20"/>
              </w:rPr>
              <w:t xml:space="preserve">12 mesi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Note validazione / esposizioni eccezionali / outlier</w:t>
      </w:r>
    </w:p>
    <w:p>
      <w:pPr>
        <w:spacing w:after="120"/>
      </w:pPr>
      <w:r>
        <w:rPr>
          <w:color w:val="475569"/>
        </w:rPr>
        <w:t xml:space="preserve">Valori compatibili con breve durata, presenza di un dato &lt;LOQ trattato operativamente.</w:t>
      </w:r>
    </w:p>
    <w:p>
      <w:pPr/>
      <w:r>
        <w:rPr>
          <w:b/>
          <w:sz w:val="24"/>
          <w:szCs w:val="24"/>
        </w:rPr>
        <w:t xml:space="preserve">Azioni correttive / RMM per l’agente</w:t>
      </w:r>
    </w:p>
    <w:p>
      <w:pPr>
        <w:spacing w:after="120"/>
      </w:pPr>
      <w:r>
        <w:rPr>
          <w:color w:val="475569"/>
        </w:rPr>
        <w:t xml:space="preserve">Presidiare le fasi a maggiore emissione e mantenere frequenza massima di rivalutazione annuale.</w:t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Misure inserite e valori usati</w:t>
      </w:r>
    </w:p>
    <w:tbl>
      <w:tblPr>
        <w:tblW w:w="9746" w:type="dxa"/>
        <w:jc w:val="center"/>
        <w:tblLayout w:type="fixed"/>
        <w:tblCellMar>
          <w:top w:w="110" w:type="dxa"/>
          <w:left w:w="120" w:type="dxa"/>
          <w:bottom w:w="110" w:type="dxa"/>
          <w:right w:w="120" w:type="dxa"/>
        </w:tblCellMar>
        <w:tblBorders>
          <w:top w:val="single" w:sz="10" w:space="0" w:color="000000"/>
          <w:left w:val="single" w:sz="10" w:space="0" w:color="000000"/>
          <w:bottom w:val="single" w:sz="10" w:space="0" w:color="000000"/>
          <w:right w:val="single" w:sz="10" w:space="0" w:color="000000"/>
          <w:insideH w:val="single" w:sz="8" w:space="0" w:color="000000"/>
          <w:insideV w:val="single" w:sz="8" w:space="0" w:color="000000"/>
        </w:tblBorders>
      </w:tblPr>
      <w:tr>
        <w:trPr>
          <w:tblHeader/>
        </w:trPr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Etichetta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</w:t>
            </w:r>
          </w:p>
        </w:tc>
        <w:tc>
          <w:tcPr>
            <w:tcW w:w="779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&lt;LOQ</w:t>
            </w:r>
          </w:p>
        </w:tc>
        <w:tc>
          <w:tcPr>
            <w:tcW w:w="877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LOQ</w:t>
            </w:r>
          </w:p>
        </w:tc>
        <w:tc>
          <w:tcPr>
            <w:tcW w:w="136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 operativo</w:t>
            </w:r>
          </w:p>
        </w:tc>
        <w:tc>
          <w:tcPr>
            <w:tcW w:w="1266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Valore usato</w:t>
            </w:r>
          </w:p>
        </w:tc>
        <w:tc>
          <w:tcPr>
            <w:tcW w:w="974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Durata (h)</w:t>
            </w:r>
          </w:p>
        </w:tc>
        <w:tc>
          <w:tcPr>
            <w:tcW w:w="2538" w:type="dxa"/>
            <w:shd w:fill="E2E8F0"/>
            <w:vAlign w:val="center"/>
          </w:tcPr>
          <w:p>
            <w:pPr>
              <w:spacing w:line="300" w:lineRule="auto"/>
            </w:pPr>
            <w:r>
              <w:rPr>
                <w:b/>
                <w:sz w:val="18"/>
                <w:szCs w:val="18"/>
              </w:rPr>
              <w:t xml:space="preserve">Nota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F1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0.04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0.04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0.25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15 minuti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F2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0.05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0.05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0.25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15 minuti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F3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Sì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0.03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0.03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0.03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0.25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&lt;LOQ con valore operativo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F4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0.06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0.06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0.25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15 minuti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F5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0.07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0.07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0.25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15 minuti</w:t>
            </w:r>
          </w:p>
        </w:tc>
      </w:tr>
      <w:tr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F6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0.05</w:t>
            </w:r>
          </w:p>
        </w:tc>
        <w:tc>
          <w:tcPr>
            <w:tcW w:w="779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No</w:t>
            </w:r>
          </w:p>
        </w:tc>
        <w:tc>
          <w:tcPr>
            <w:tcW w:w="877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36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—</w:t>
            </w:r>
          </w:p>
        </w:tc>
        <w:tc>
          <w:tcPr>
            <w:tcW w:w="1266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0.05</w:t>
            </w:r>
          </w:p>
        </w:tc>
        <w:tc>
          <w:tcPr>
            <w:tcW w:w="974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0.25</w:t>
            </w:r>
          </w:p>
        </w:tc>
        <w:tc>
          <w:tcPr>
            <w:tcW w:w="2538" w:type="dxa"/>
            <w:vAlign w:val="center"/>
          </w:tcPr>
          <w:p>
            <w:pPr>
              <w:spacing w:line="300" w:lineRule="auto"/>
            </w:pPr>
            <w:r>
              <w:rPr>
                <w:sz w:val="18"/>
                <w:szCs w:val="18"/>
              </w:rPr>
              <w:t xml:space="preserve">15 minuti</w:t>
            </w:r>
          </w:p>
        </w:tc>
      </w:tr>
    </w:tbl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Grafico misure • Formaldeide</w:t>
      </w:r>
    </w:p>
    <w:p>
      <w:pPr>
        <w:jc w:val="center"/>
      </w:pPr>
      <w:r>
        <w:drawing>
          <wp:inline distT="0" distB="0" distL="0" distR="0">
            <wp:extent cx="5760000" cy="2138400"/>
            <wp:docPr id="9" name="Grafico misure • Formaldei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afico misure • Formaldeide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1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Matrice rischio gestionale • Formaldeide</w:t>
      </w:r>
    </w:p>
    <w:p>
      <w:pPr>
        <w:jc w:val="center"/>
      </w:pPr>
      <w:r>
        <w:drawing>
          <wp:inline distT="0" distB="0" distL="0" distR="0">
            <wp:extent cx="5760000" cy="2880000"/>
            <wp:docPr id="10" name="Matrice rischio gestionale • Formaldei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rice rischio gestionale • Formaldeid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Matrice rivalutazione • Formaldeide</w:t>
      </w:r>
    </w:p>
    <w:p>
      <w:pPr>
        <w:jc w:val="center"/>
      </w:pPr>
      <w:r>
        <w:drawing>
          <wp:inline distT="0" distB="0" distL="0" distR="0">
            <wp:extent cx="5760000" cy="1767600"/>
            <wp:docPr id="11" name="Matrice rivalutazione • Formaldeid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rice rivalutazione • Formaldeid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7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Warning</w:t>
      </w:r>
    </w:p>
    <w:p>
      <w:pPr/>
      <w:r>
        <w:rPr>
          <w:color w:val="92400E"/>
        </w:rPr>
        <w:t xml:space="preserve">• Incertezza estesa dichiarata: 30.0%. Riportarla nel resoconto.</w:t>
      </w:r>
    </w:p>
    <w:p>
      <w:pPr/>
      <w:r>
        <w:rPr>
          <w:color w:val="92400E"/>
        </w:rPr>
        <w:t xml:space="preserve">• Agente marcato CMR / attenzione elevata: mantenuta una periodicità massima di 12 mesi.</w:t>
      </w:r>
    </w:p>
    <w:p>
      <w:pPr>
        <w:spacing w:after="120"/>
      </w:pPr>
      <w:r>
        <w:rPr/>
        <w:t xml:space="preserve"> </w:t>
      </w:r>
    </w:p>
    <w:p>
      <w:pPr/>
      <w:r>
        <w:rPr>
          <w:b/>
          <w:sz w:val="24"/>
          <w:szCs w:val="24"/>
        </w:rPr>
        <w:t xml:space="preserve">Avvertenza finale</w:t>
      </w:r>
    </w:p>
    <w:p>
      <w:pPr/>
      <w:r>
        <w:rPr>
          <w:color w:val="475569"/>
        </w:rPr>
        <w:t xml:space="preserve">Report generato in locale dalla web app. Verificare sempre qualità del dato, rappresentatività del campionamento, validazione dei SEG, correttezza della fonte OEL/VLEP e coerenza della caratterizzazione di base rispetto al processo reale.</w:t>
      </w:r>
    </w:p>
    <w:sectPr>
      <w:pgSz w:w="11906" w:h="16838"/>
      <w:pgMar w:top="1080" w:right="1080" w:bottom="1080" w:left="1080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kpi-sintesi.png"/><Relationship Id="rId2" Type="http://schemas.openxmlformats.org/officeDocument/2006/relationships/image" Target="media/grafico-esposizione-sintetica.png"/><Relationship Id="rId3" Type="http://schemas.openxmlformats.org/officeDocument/2006/relationships/image" Target="media/misure-1-toluene.png"/><Relationship Id="rId4" Type="http://schemas.openxmlformats.org/officeDocument/2006/relationships/image" Target="media/matrice-rischio-1-toluene.png"/><Relationship Id="rId5" Type="http://schemas.openxmlformats.org/officeDocument/2006/relationships/image" Target="media/matrice-rivalutazione-1-toluene.png"/><Relationship Id="rId6" Type="http://schemas.openxmlformats.org/officeDocument/2006/relationships/image" Target="media/misure-2-xileni-misti.png"/><Relationship Id="rId7" Type="http://schemas.openxmlformats.org/officeDocument/2006/relationships/image" Target="media/matrice-rischio-2-xileni-misti.png"/><Relationship Id="rId8" Type="http://schemas.openxmlformats.org/officeDocument/2006/relationships/image" Target="media/matrice-rivalutazione-2-xileni-misti.png"/><Relationship Id="rId9" Type="http://schemas.openxmlformats.org/officeDocument/2006/relationships/image" Target="media/misure-3-formaldeide.png"/><Relationship Id="rId10" Type="http://schemas.openxmlformats.org/officeDocument/2006/relationships/image" Target="media/matrice-rischio-3-formaldeide.png"/><Relationship Id="rId11" Type="http://schemas.openxmlformats.org/officeDocument/2006/relationships/image" Target="media/matrice-rivalutazione-3-formaldeide.png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UNI EN 689 CHIMICO FREE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Demo solventi reparto miscelazione</dc:title>
  <dc:subject>Valutazione esposizione e rischio per agenti chimici</dc:subject>
  <dc:creator>UNI EN 689 CHIMICO FREE</dc:creator>
  <cp:lastModifiedBy>UNI EN 689 CHIMICO FREE</cp:lastModifiedBy>
  <dcterms:created xsi:type="dcterms:W3CDTF">2026-03-11T13:56:47.732Z</dcterms:created>
  <dcterms:modified xsi:type="dcterms:W3CDTF">2026-03-11T13:56:47.732Z</dcterms:modified>
</cp:coreProperties>
</file>