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58BB0" w14:textId="77777777" w:rsidR="000964CC" w:rsidRDefault="000964CC" w:rsidP="000964CC">
      <w:pPr>
        <w:jc w:val="center"/>
        <w:rPr>
          <w:b/>
          <w:bCs/>
          <w:sz w:val="44"/>
          <w:szCs w:val="44"/>
        </w:rPr>
      </w:pPr>
      <w:r w:rsidRPr="000964CC">
        <w:rPr>
          <w:b/>
          <w:bCs/>
          <w:sz w:val="44"/>
          <w:szCs w:val="44"/>
        </w:rPr>
        <w:t>checklist di adeguamento aziendale</w:t>
      </w:r>
      <w:r w:rsidRPr="000964CC">
        <w:rPr>
          <w:b/>
          <w:bCs/>
          <w:sz w:val="44"/>
          <w:szCs w:val="44"/>
        </w:rPr>
        <w:t xml:space="preserve"> A seguito entrata in vigore </w:t>
      </w:r>
    </w:p>
    <w:p w14:paraId="6CC899C4" w14:textId="19E81D37" w:rsidR="00336AF8" w:rsidRDefault="000964CC" w:rsidP="000964CC">
      <w:pPr>
        <w:jc w:val="center"/>
        <w:rPr>
          <w:sz w:val="44"/>
          <w:szCs w:val="44"/>
        </w:rPr>
      </w:pPr>
      <w:proofErr w:type="spellStart"/>
      <w:r w:rsidRPr="000964CC">
        <w:rPr>
          <w:sz w:val="44"/>
          <w:szCs w:val="44"/>
        </w:rPr>
        <w:t>D.Lgs.</w:t>
      </w:r>
      <w:proofErr w:type="spellEnd"/>
      <w:r w:rsidRPr="000964CC">
        <w:rPr>
          <w:sz w:val="44"/>
          <w:szCs w:val="44"/>
        </w:rPr>
        <w:t xml:space="preserve"> 213/2025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91"/>
        <w:gridCol w:w="4315"/>
        <w:gridCol w:w="1406"/>
        <w:gridCol w:w="3133"/>
        <w:gridCol w:w="3758"/>
      </w:tblGrid>
      <w:tr w:rsidR="000964CC" w:rsidRPr="000964CC" w14:paraId="271C88B7" w14:textId="77777777" w:rsidTr="000964CC">
        <w:tc>
          <w:tcPr>
            <w:tcW w:w="0" w:type="auto"/>
            <w:hideMark/>
          </w:tcPr>
          <w:p w14:paraId="216C5C24" w14:textId="77777777" w:rsidR="000964CC" w:rsidRPr="000964CC" w:rsidRDefault="000964CC" w:rsidP="000964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Ambito</w:t>
            </w:r>
          </w:p>
        </w:tc>
        <w:tc>
          <w:tcPr>
            <w:tcW w:w="0" w:type="auto"/>
            <w:hideMark/>
          </w:tcPr>
          <w:p w14:paraId="55178FF1" w14:textId="77777777" w:rsidR="000964CC" w:rsidRPr="000964CC" w:rsidRDefault="000964CC" w:rsidP="000964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Checklist di adeguamento (azioni puntuali)</w:t>
            </w:r>
          </w:p>
        </w:tc>
        <w:tc>
          <w:tcPr>
            <w:tcW w:w="0" w:type="auto"/>
            <w:hideMark/>
          </w:tcPr>
          <w:p w14:paraId="03F9F99B" w14:textId="77777777" w:rsidR="000964CC" w:rsidRPr="000964CC" w:rsidRDefault="000964CC" w:rsidP="000964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Riferimento normativo aggiornato (</w:t>
            </w:r>
            <w:proofErr w:type="spellStart"/>
            <w:r w:rsidRPr="00096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096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81/2008 come modificato da </w:t>
            </w:r>
            <w:proofErr w:type="spellStart"/>
            <w:r w:rsidRPr="00096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096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213/2025)</w:t>
            </w:r>
          </w:p>
        </w:tc>
        <w:tc>
          <w:tcPr>
            <w:tcW w:w="0" w:type="auto"/>
            <w:hideMark/>
          </w:tcPr>
          <w:p w14:paraId="27E955C0" w14:textId="77777777" w:rsidR="000964CC" w:rsidRPr="000964CC" w:rsidRDefault="000964CC" w:rsidP="000964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Evidenze/documenti da produrre e conservare</w:t>
            </w:r>
          </w:p>
        </w:tc>
        <w:tc>
          <w:tcPr>
            <w:tcW w:w="0" w:type="auto"/>
            <w:hideMark/>
          </w:tcPr>
          <w:p w14:paraId="3D8B6132" w14:textId="77777777" w:rsidR="000964CC" w:rsidRPr="000964CC" w:rsidRDefault="000964CC" w:rsidP="000964C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Note operative e controlli interni</w:t>
            </w:r>
          </w:p>
        </w:tc>
      </w:tr>
      <w:tr w:rsidR="000964CC" w:rsidRPr="000964CC" w14:paraId="12E84C04" w14:textId="77777777" w:rsidTr="000964CC">
        <w:tc>
          <w:tcPr>
            <w:tcW w:w="0" w:type="auto"/>
            <w:hideMark/>
          </w:tcPr>
          <w:p w14:paraId="0CB5AE3F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1. Perimetro attività</w:t>
            </w:r>
          </w:p>
        </w:tc>
        <w:tc>
          <w:tcPr>
            <w:tcW w:w="0" w:type="auto"/>
            <w:hideMark/>
          </w:tcPr>
          <w:p w14:paraId="30EA7197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Mappare attività aziendali/cantieri/siti in cui può emergere rischio amianto (anche “non tipico”: emergenze, eventi naturali estremi, lotta antincendio, scavi/pietre verdi, gestione rifiuti).</w:t>
            </w:r>
          </w:p>
        </w:tc>
        <w:tc>
          <w:tcPr>
            <w:tcW w:w="0" w:type="auto"/>
            <w:hideMark/>
          </w:tcPr>
          <w:p w14:paraId="2D148B5E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246 (sostituito)</w:t>
            </w:r>
          </w:p>
        </w:tc>
        <w:tc>
          <w:tcPr>
            <w:tcW w:w="0" w:type="auto"/>
            <w:hideMark/>
          </w:tcPr>
          <w:p w14:paraId="08336301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Elenco attività/siti/mansioni esposte; registro cantieri/siti; procedure HSE</w:t>
            </w:r>
          </w:p>
        </w:tc>
        <w:tc>
          <w:tcPr>
            <w:tcW w:w="0" w:type="auto"/>
            <w:hideMark/>
          </w:tcPr>
          <w:p w14:paraId="3669C646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contratti/subappalti: includere clausole amianto, obblighi informativi e cooperazione</w:t>
            </w:r>
          </w:p>
        </w:tc>
      </w:tr>
      <w:tr w:rsidR="000964CC" w:rsidRPr="000964CC" w14:paraId="6C8123FA" w14:textId="77777777" w:rsidTr="000964CC">
        <w:tc>
          <w:tcPr>
            <w:tcW w:w="0" w:type="auto"/>
            <w:hideMark/>
          </w:tcPr>
          <w:p w14:paraId="74B8EE1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2. Individuazione preventiva MCA</w:t>
            </w:r>
          </w:p>
        </w:tc>
        <w:tc>
          <w:tcPr>
            <w:tcW w:w="0" w:type="auto"/>
            <w:hideMark/>
          </w:tcPr>
          <w:p w14:paraId="75931B35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Prima di demolizioni/manutenzioni/ristrutturazioni: acquisire info dal proprietario; per edifici ante 1992 cercare anche da altre fonti/registri; se info non disponibili eseguire esame con operatore qualificato e ottenere esito prima dei lavori.</w:t>
            </w:r>
          </w:p>
        </w:tc>
        <w:tc>
          <w:tcPr>
            <w:tcW w:w="0" w:type="auto"/>
            <w:hideMark/>
          </w:tcPr>
          <w:p w14:paraId="2787B046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248, c.1 (sostituito)</w:t>
            </w:r>
          </w:p>
        </w:tc>
        <w:tc>
          <w:tcPr>
            <w:tcW w:w="0" w:type="auto"/>
            <w:hideMark/>
          </w:tcPr>
          <w:p w14:paraId="1B823630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richieste info; relazione/sopralluogo operatore qualificato; esito indagine; planimetrie/aree MCA</w:t>
            </w:r>
          </w:p>
        </w:tc>
        <w:tc>
          <w:tcPr>
            <w:tcW w:w="0" w:type="auto"/>
            <w:hideMark/>
          </w:tcPr>
          <w:p w14:paraId="6D65913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KPI interno: “cantieri con esito indagine amianto prima avvio lavori (%)”</w:t>
            </w:r>
          </w:p>
        </w:tc>
      </w:tr>
      <w:tr w:rsidR="000964CC" w:rsidRPr="000964CC" w14:paraId="65633F30" w14:textId="77777777" w:rsidTr="000964CC">
        <w:tc>
          <w:tcPr>
            <w:tcW w:w="0" w:type="auto"/>
            <w:hideMark/>
          </w:tcPr>
          <w:p w14:paraId="314E19CB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 Cooperazione con terzi</w:t>
            </w:r>
          </w:p>
        </w:tc>
        <w:tc>
          <w:tcPr>
            <w:tcW w:w="0" w:type="auto"/>
            <w:hideMark/>
          </w:tcPr>
          <w:p w14:paraId="1C4050D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Mettere a disposizione ad altri datori di lavoro (su richiesta e solo per adempiere all’obbligo) le informazioni ottenute sull’amianto/MCA.</w:t>
            </w:r>
          </w:p>
        </w:tc>
        <w:tc>
          <w:tcPr>
            <w:tcW w:w="0" w:type="auto"/>
            <w:hideMark/>
          </w:tcPr>
          <w:p w14:paraId="6A6A4EF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248, c.1 (ultimo periodo)</w:t>
            </w:r>
          </w:p>
        </w:tc>
        <w:tc>
          <w:tcPr>
            <w:tcW w:w="0" w:type="auto"/>
            <w:hideMark/>
          </w:tcPr>
          <w:p w14:paraId="0B64A4DD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Procedura scambio info; registro richieste/risposte; verbali coordinamento</w:t>
            </w:r>
          </w:p>
        </w:tc>
        <w:tc>
          <w:tcPr>
            <w:tcW w:w="0" w:type="auto"/>
            <w:hideMark/>
          </w:tcPr>
          <w:p w14:paraId="2F15762C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Inserire nel DUVRI/PSC flussi informativi e responsabilità</w:t>
            </w:r>
          </w:p>
        </w:tc>
      </w:tr>
      <w:tr w:rsidR="000964CC" w:rsidRPr="000964CC" w14:paraId="2401A190" w14:textId="77777777" w:rsidTr="000964CC">
        <w:tc>
          <w:tcPr>
            <w:tcW w:w="0" w:type="auto"/>
            <w:hideMark/>
          </w:tcPr>
          <w:p w14:paraId="2B7C000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4. Valutazione rischio e scelta strategia</w:t>
            </w:r>
          </w:p>
        </w:tc>
        <w:tc>
          <w:tcPr>
            <w:tcW w:w="0" w:type="auto"/>
            <w:hideMark/>
          </w:tcPr>
          <w:p w14:paraId="4F1A2CD0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Aggiornare la valutazione del rischio: determinare natura e grado dell’esposizione; motivare misure </w:t>
            </w: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tecniche, organizzative e DPI; introdurre criterio di priorità alla rimozione dei MCA rispetto ad altre forme di manutenzione/bonifica (ove praticabile).</w:t>
            </w:r>
          </w:p>
        </w:tc>
        <w:tc>
          <w:tcPr>
            <w:tcW w:w="0" w:type="auto"/>
            <w:hideMark/>
          </w:tcPr>
          <w:p w14:paraId="3A3615B5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Art. 249, c.1 e nuovo c.1-bis</w:t>
            </w:r>
          </w:p>
        </w:tc>
        <w:tc>
          <w:tcPr>
            <w:tcW w:w="0" w:type="auto"/>
            <w:hideMark/>
          </w:tcPr>
          <w:p w14:paraId="47EB9B0B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DVR/valutazione specifica; relazione tecnica di scelta (rimozione vs </w:t>
            </w: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incapsulamento/confinamento); piano controlli</w:t>
            </w:r>
          </w:p>
        </w:tc>
        <w:tc>
          <w:tcPr>
            <w:tcW w:w="0" w:type="auto"/>
            <w:hideMark/>
          </w:tcPr>
          <w:p w14:paraId="34A7CA1E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Evidenziare “rimozione prioritaria” come decisione motivata (vincoli tecnici, sicurezza, tempi, impatti)</w:t>
            </w:r>
          </w:p>
        </w:tc>
      </w:tr>
      <w:tr w:rsidR="000964CC" w:rsidRPr="000964CC" w14:paraId="2FF8F116" w14:textId="77777777" w:rsidTr="000964CC">
        <w:tc>
          <w:tcPr>
            <w:tcW w:w="0" w:type="auto"/>
            <w:hideMark/>
          </w:tcPr>
          <w:p w14:paraId="6D9FE1C8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5. Esposizioni sporadiche/debole intensità</w:t>
            </w:r>
          </w:p>
        </w:tc>
        <w:tc>
          <w:tcPr>
            <w:tcW w:w="0" w:type="auto"/>
            <w:hideMark/>
          </w:tcPr>
          <w:p w14:paraId="29A5B902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casi “sporadici e di debole intensità”: aggiornare la procedura perché l’esclusione riguarda ora solo la notifica (art. 250).</w:t>
            </w:r>
          </w:p>
        </w:tc>
        <w:tc>
          <w:tcPr>
            <w:tcW w:w="0" w:type="auto"/>
            <w:hideMark/>
          </w:tcPr>
          <w:p w14:paraId="55B7453C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249, c.2 (modifica)</w:t>
            </w:r>
          </w:p>
        </w:tc>
        <w:tc>
          <w:tcPr>
            <w:tcW w:w="0" w:type="auto"/>
            <w:hideMark/>
          </w:tcPr>
          <w:p w14:paraId="72E801E2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Schede valutazione “sporadico/debole” con motivazione; istruzioni operative</w:t>
            </w:r>
          </w:p>
        </w:tc>
        <w:tc>
          <w:tcPr>
            <w:tcW w:w="0" w:type="auto"/>
            <w:hideMark/>
          </w:tcPr>
          <w:p w14:paraId="499D3B4E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Attenzione: restano comunque applicabili misure tecniche/DPI/formazione/sorveglianza ecc. (se pertinenti)</w:t>
            </w:r>
          </w:p>
        </w:tc>
      </w:tr>
      <w:tr w:rsidR="000964CC" w:rsidRPr="000964CC" w14:paraId="0C842D2A" w14:textId="77777777" w:rsidTr="000964CC">
        <w:tc>
          <w:tcPr>
            <w:tcW w:w="0" w:type="auto"/>
            <w:hideMark/>
          </w:tcPr>
          <w:p w14:paraId="7C4592FC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6. Notifica preventiva (trigger)</w:t>
            </w:r>
          </w:p>
        </w:tc>
        <w:tc>
          <w:tcPr>
            <w:tcW w:w="0" w:type="auto"/>
            <w:hideMark/>
          </w:tcPr>
          <w:p w14:paraId="1424BE04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Predisporre notifica all’organo di vigilanza prima dell’inizio lavori quando i lavoratori sono o possono essere esposti (manutenzione/ristrutturazione/demolizione, rimozione, smaltimento/trattamento rifiuti, bonifica, estrazione/scavo pietre verdi).</w:t>
            </w:r>
          </w:p>
        </w:tc>
        <w:tc>
          <w:tcPr>
            <w:tcW w:w="0" w:type="auto"/>
            <w:hideMark/>
          </w:tcPr>
          <w:p w14:paraId="609A6BA7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250, c.1 (sostituito)</w:t>
            </w:r>
          </w:p>
        </w:tc>
        <w:tc>
          <w:tcPr>
            <w:tcW w:w="0" w:type="auto"/>
            <w:hideMark/>
          </w:tcPr>
          <w:p w14:paraId="1F20DB75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Copia notifica; ricevuta invio/PEC/portale; fascicolo commessa/cantiere</w:t>
            </w:r>
          </w:p>
        </w:tc>
        <w:tc>
          <w:tcPr>
            <w:tcW w:w="0" w:type="auto"/>
            <w:hideMark/>
          </w:tcPr>
          <w:p w14:paraId="4A8FDFA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Prevedere workflow interno con “gate” documentale: senza notifica (quando dovuta) non si avvia</w:t>
            </w:r>
          </w:p>
        </w:tc>
      </w:tr>
      <w:tr w:rsidR="000964CC" w:rsidRPr="000964CC" w14:paraId="74C5B7C5" w14:textId="77777777" w:rsidTr="000964CC">
        <w:tc>
          <w:tcPr>
            <w:tcW w:w="0" w:type="auto"/>
            <w:hideMark/>
          </w:tcPr>
          <w:p w14:paraId="45C564C5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7. Notifica (contenuti minimi)</w:t>
            </w:r>
          </w:p>
        </w:tc>
        <w:tc>
          <w:tcPr>
            <w:tcW w:w="0" w:type="auto"/>
            <w:hideMark/>
          </w:tcPr>
          <w:p w14:paraId="40B7C277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Compilare integralmente i contenuti minimi: ubicazione, tipo/quantità amianto, attività e procedimenti + misure di protezione/decontaminazione (incluso ricambio aria ambienti chiusi), elenco lavoratori e ruoli, </w:t>
            </w:r>
            <w:r w:rsidRPr="00096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certificati formazione individuali</w:t>
            </w: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data ultima visita medica periodica, date e durata lavori, misure/DPI.</w:t>
            </w:r>
          </w:p>
        </w:tc>
        <w:tc>
          <w:tcPr>
            <w:tcW w:w="0" w:type="auto"/>
            <w:hideMark/>
          </w:tcPr>
          <w:p w14:paraId="64AC3475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250, c.2 (sostituito)</w:t>
            </w:r>
          </w:p>
        </w:tc>
        <w:tc>
          <w:tcPr>
            <w:tcW w:w="0" w:type="auto"/>
            <w:hideMark/>
          </w:tcPr>
          <w:p w14:paraId="3D65558E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Notifica con allegati; elenco nominativo; certificati formazione; evidenze sorveglianza sanitaria</w:t>
            </w:r>
          </w:p>
        </w:tc>
        <w:tc>
          <w:tcPr>
            <w:tcW w:w="0" w:type="auto"/>
            <w:hideMark/>
          </w:tcPr>
          <w:p w14:paraId="738FF562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 qualità: checklist “completezza notifica” firmata da RSPP/dirigente preposto</w:t>
            </w:r>
          </w:p>
        </w:tc>
      </w:tr>
      <w:tr w:rsidR="000964CC" w:rsidRPr="000964CC" w14:paraId="4F8625E1" w14:textId="77777777" w:rsidTr="000964CC">
        <w:tc>
          <w:tcPr>
            <w:tcW w:w="0" w:type="auto"/>
            <w:hideMark/>
          </w:tcPr>
          <w:p w14:paraId="6027F47B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8. Conservazione 40 anni</w:t>
            </w:r>
          </w:p>
        </w:tc>
        <w:tc>
          <w:tcPr>
            <w:tcW w:w="0" w:type="auto"/>
            <w:hideMark/>
          </w:tcPr>
          <w:p w14:paraId="77DAEC85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Conservare per </w:t>
            </w:r>
            <w:r w:rsidRPr="00096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40 anni</w:t>
            </w: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la documentazione relativa a elenco lavoratori + certificati formazione + data ultima visita medica periodica (comma 2, lett. d).</w:t>
            </w:r>
          </w:p>
        </w:tc>
        <w:tc>
          <w:tcPr>
            <w:tcW w:w="0" w:type="auto"/>
            <w:hideMark/>
          </w:tcPr>
          <w:p w14:paraId="24B0A25B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250, nuovo c.2-bis</w:t>
            </w:r>
          </w:p>
        </w:tc>
        <w:tc>
          <w:tcPr>
            <w:tcW w:w="0" w:type="auto"/>
            <w:hideMark/>
          </w:tcPr>
          <w:p w14:paraId="2751303D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di archiviazione 40 anni (digitale e/o cartaceo); registro conservazione; policy backup</w:t>
            </w:r>
          </w:p>
        </w:tc>
        <w:tc>
          <w:tcPr>
            <w:tcW w:w="0" w:type="auto"/>
            <w:hideMark/>
          </w:tcPr>
          <w:p w14:paraId="70B449F5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Definire: formati, responsabilità, migrazione dati, continuità in caso di cambio gestionale</w:t>
            </w:r>
          </w:p>
        </w:tc>
      </w:tr>
      <w:tr w:rsidR="000964CC" w:rsidRPr="000964CC" w14:paraId="74EAD822" w14:textId="77777777" w:rsidTr="000964CC">
        <w:tc>
          <w:tcPr>
            <w:tcW w:w="0" w:type="auto"/>
            <w:hideMark/>
          </w:tcPr>
          <w:p w14:paraId="6867F58A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9. Riduzione esposizione “tecnicamente possibile”</w:t>
            </w:r>
          </w:p>
        </w:tc>
        <w:tc>
          <w:tcPr>
            <w:tcW w:w="0" w:type="auto"/>
            <w:hideMark/>
          </w:tcPr>
          <w:p w14:paraId="77438FF0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Aggiornare procedure e capitolati: l’esposizione va ridotta al più basso valore tecnicamente possibile; introdurre misure ingegneristiche e organizzative sistematiche.</w:t>
            </w:r>
          </w:p>
        </w:tc>
        <w:tc>
          <w:tcPr>
            <w:tcW w:w="0" w:type="auto"/>
            <w:hideMark/>
          </w:tcPr>
          <w:p w14:paraId="75F5DE1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251, c.1 (modifiche)</w:t>
            </w:r>
          </w:p>
        </w:tc>
        <w:tc>
          <w:tcPr>
            <w:tcW w:w="0" w:type="auto"/>
            <w:hideMark/>
          </w:tcPr>
          <w:p w14:paraId="74566548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operative; POS/PSC; istruzioni attrezzature; capitolati e schede tecniche</w:t>
            </w:r>
          </w:p>
        </w:tc>
        <w:tc>
          <w:tcPr>
            <w:tcW w:w="0" w:type="auto"/>
            <w:hideMark/>
          </w:tcPr>
          <w:p w14:paraId="31787344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 in campo: presenza/uso reale di aspirazione, abbattimento, confinamento, procedure pulizia</w:t>
            </w:r>
          </w:p>
        </w:tc>
      </w:tr>
      <w:tr w:rsidR="000964CC" w:rsidRPr="000964CC" w14:paraId="5032C51D" w14:textId="77777777" w:rsidTr="000964CC">
        <w:tc>
          <w:tcPr>
            <w:tcW w:w="0" w:type="auto"/>
            <w:hideMark/>
          </w:tcPr>
          <w:p w14:paraId="707287C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10. DPI respiratori obbligatori (manipolazione attiva)</w:t>
            </w:r>
          </w:p>
        </w:tc>
        <w:tc>
          <w:tcPr>
            <w:tcW w:w="0" w:type="auto"/>
            <w:hideMark/>
          </w:tcPr>
          <w:p w14:paraId="74D0188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 caso di rischio connesso a manipolazione attiva: uso </w:t>
            </w:r>
            <w:r w:rsidRPr="00096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sempre</w:t>
            </w: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di DPI (inclusi respiratori) con fattore di protezione operativo adeguato alla concentrazione; definire criteri di scelta e sostituzione.</w:t>
            </w:r>
          </w:p>
        </w:tc>
        <w:tc>
          <w:tcPr>
            <w:tcW w:w="0" w:type="auto"/>
            <w:hideMark/>
          </w:tcPr>
          <w:p w14:paraId="6E4A3CF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251, c.1 (lett. d e correlate)</w:t>
            </w:r>
          </w:p>
        </w:tc>
        <w:tc>
          <w:tcPr>
            <w:tcW w:w="0" w:type="auto"/>
            <w:hideMark/>
          </w:tcPr>
          <w:p w14:paraId="31120A61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Matrice DPI per scenari; registri consegna; addestramento DPI; istruzioni uso/manutenzione</w:t>
            </w:r>
          </w:p>
        </w:tc>
        <w:tc>
          <w:tcPr>
            <w:tcW w:w="0" w:type="auto"/>
            <w:hideMark/>
          </w:tcPr>
          <w:p w14:paraId="1C24F0B3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Collegare con sorveglianza sanitaria (idoneità a respiratori)</w:t>
            </w:r>
          </w:p>
        </w:tc>
      </w:tr>
      <w:tr w:rsidR="000964CC" w:rsidRPr="000964CC" w14:paraId="01297E52" w14:textId="77777777" w:rsidTr="000964CC">
        <w:tc>
          <w:tcPr>
            <w:tcW w:w="0" w:type="auto"/>
            <w:hideMark/>
          </w:tcPr>
          <w:p w14:paraId="46C0CB51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11. Riposi e decontaminazione</w:t>
            </w:r>
          </w:p>
        </w:tc>
        <w:tc>
          <w:tcPr>
            <w:tcW w:w="0" w:type="auto"/>
            <w:hideMark/>
          </w:tcPr>
          <w:p w14:paraId="6D44BDD6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Prevedere periodi di riposo nell’uso dei DPI e accesso alle aree di riposo solo dopo decontaminazione; formalizzare il flusso “zona sporca → decontaminazione → zona pulita”.</w:t>
            </w:r>
          </w:p>
        </w:tc>
        <w:tc>
          <w:tcPr>
            <w:tcW w:w="0" w:type="auto"/>
            <w:hideMark/>
          </w:tcPr>
          <w:p w14:paraId="0133ABAA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251, c.1 (modifiche)</w:t>
            </w:r>
          </w:p>
        </w:tc>
        <w:tc>
          <w:tcPr>
            <w:tcW w:w="0" w:type="auto"/>
            <w:hideMark/>
          </w:tcPr>
          <w:p w14:paraId="364D420B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Layout aree; procedura decontaminazione; registro controlli; foto/planimetrie cantiere</w:t>
            </w:r>
          </w:p>
        </w:tc>
        <w:tc>
          <w:tcPr>
            <w:tcW w:w="0" w:type="auto"/>
            <w:hideMark/>
          </w:tcPr>
          <w:p w14:paraId="4CEB7D0F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Controllo: la catena di decontaminazione deve essere presente e funzionante, non solo dichiarata</w:t>
            </w:r>
          </w:p>
        </w:tc>
      </w:tr>
      <w:tr w:rsidR="000964CC" w:rsidRPr="000964CC" w14:paraId="214E2519" w14:textId="77777777" w:rsidTr="000964CC">
        <w:tc>
          <w:tcPr>
            <w:tcW w:w="0" w:type="auto"/>
            <w:hideMark/>
          </w:tcPr>
          <w:p w14:paraId="2FDFC96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12. Misure di abbattimento polveri</w:t>
            </w:r>
          </w:p>
        </w:tc>
        <w:tc>
          <w:tcPr>
            <w:tcW w:w="0" w:type="auto"/>
            <w:hideMark/>
          </w:tcPr>
          <w:p w14:paraId="373E8EC6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Adottare processi per evitare polvere/emissioni: aspirazione alla fonte, eliminazione polveri, abbattimento continuo con acqua nebulizzata/incapsulanti.</w:t>
            </w:r>
          </w:p>
        </w:tc>
        <w:tc>
          <w:tcPr>
            <w:tcW w:w="0" w:type="auto"/>
            <w:hideMark/>
          </w:tcPr>
          <w:p w14:paraId="75F807CC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251, c.1 (modifiche)</w:t>
            </w:r>
          </w:p>
        </w:tc>
        <w:tc>
          <w:tcPr>
            <w:tcW w:w="0" w:type="auto"/>
            <w:hideMark/>
          </w:tcPr>
          <w:p w14:paraId="475018BE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Schede tecniche attrezzature; check giornalieri; registro manutenzione aspiratori/filtri</w:t>
            </w:r>
          </w:p>
        </w:tc>
        <w:tc>
          <w:tcPr>
            <w:tcW w:w="0" w:type="auto"/>
            <w:hideMark/>
          </w:tcPr>
          <w:p w14:paraId="66D1FFC5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KPI: “giorni lavoro con check attrezzature completato (%)”</w:t>
            </w:r>
          </w:p>
        </w:tc>
      </w:tr>
      <w:tr w:rsidR="000964CC" w:rsidRPr="000964CC" w14:paraId="08F54BFE" w14:textId="77777777" w:rsidTr="000964CC">
        <w:tc>
          <w:tcPr>
            <w:tcW w:w="0" w:type="auto"/>
            <w:hideMark/>
          </w:tcPr>
          <w:p w14:paraId="4DF20593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13. Ambienti chiusi e procedure specifiche</w:t>
            </w:r>
          </w:p>
        </w:tc>
        <w:tc>
          <w:tcPr>
            <w:tcW w:w="0" w:type="auto"/>
            <w:hideMark/>
          </w:tcPr>
          <w:p w14:paraId="58CCBBE8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Integrare protezioni per lavori in ambienti chiusi e procedure di decontaminazione (nuove previsioni).</w:t>
            </w:r>
          </w:p>
        </w:tc>
        <w:tc>
          <w:tcPr>
            <w:tcW w:w="0" w:type="auto"/>
            <w:hideMark/>
          </w:tcPr>
          <w:p w14:paraId="41519583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251, c.1 (nuove lett. e-bis/e-ter)</w:t>
            </w:r>
          </w:p>
        </w:tc>
        <w:tc>
          <w:tcPr>
            <w:tcW w:w="0" w:type="auto"/>
            <w:hideMark/>
          </w:tcPr>
          <w:p w14:paraId="71E1A172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 specifico ambienti chiusi; procedure emergenza; ventilazione/estrazione</w:t>
            </w:r>
          </w:p>
        </w:tc>
        <w:tc>
          <w:tcPr>
            <w:tcW w:w="0" w:type="auto"/>
            <w:hideMark/>
          </w:tcPr>
          <w:p w14:paraId="77FB90F7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Verifica: ricambi aria, differenziali di pressione, gestione percorsi ingresso/uscita</w:t>
            </w:r>
          </w:p>
        </w:tc>
      </w:tr>
      <w:tr w:rsidR="000964CC" w:rsidRPr="000964CC" w14:paraId="40F41D1F" w14:textId="77777777" w:rsidTr="000964CC">
        <w:tc>
          <w:tcPr>
            <w:tcW w:w="0" w:type="auto"/>
            <w:hideMark/>
          </w:tcPr>
          <w:p w14:paraId="45711748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14. Gestione rifiuti amianto</w:t>
            </w:r>
          </w:p>
        </w:tc>
        <w:tc>
          <w:tcPr>
            <w:tcW w:w="0" w:type="auto"/>
            <w:hideMark/>
          </w:tcPr>
          <w:p w14:paraId="1E96EDFD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Raccogliere e rimuovere rifiuti al più presto in imballaggi chiusi con etichetta “contengono amianto”; trattare come rifiuto pericoloso; per pietre verdi applicare normativa specifica.</w:t>
            </w:r>
          </w:p>
        </w:tc>
        <w:tc>
          <w:tcPr>
            <w:tcW w:w="0" w:type="auto"/>
            <w:hideMark/>
          </w:tcPr>
          <w:p w14:paraId="1F34CBAB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251, c.1 (rifiuti)</w:t>
            </w:r>
          </w:p>
        </w:tc>
        <w:tc>
          <w:tcPr>
            <w:tcW w:w="0" w:type="auto"/>
            <w:hideMark/>
          </w:tcPr>
          <w:p w14:paraId="477620E8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Formulari/FIR; registri carico-scarico; etichettatura; procedure deposito temporaneo</w:t>
            </w:r>
          </w:p>
        </w:tc>
        <w:tc>
          <w:tcPr>
            <w:tcW w:w="0" w:type="auto"/>
            <w:hideMark/>
          </w:tcPr>
          <w:p w14:paraId="19D9508E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Controllo: integrità imballaggi, segregazione aree, pulizia e tracciabilità lotti</w:t>
            </w:r>
          </w:p>
        </w:tc>
      </w:tr>
      <w:tr w:rsidR="000964CC" w:rsidRPr="000964CC" w14:paraId="3116A284" w14:textId="77777777" w:rsidTr="000964CC">
        <w:tc>
          <w:tcPr>
            <w:tcW w:w="0" w:type="auto"/>
            <w:hideMark/>
          </w:tcPr>
          <w:p w14:paraId="700DF750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15. Misure igieniche (ambito)</w:t>
            </w:r>
          </w:p>
        </w:tc>
        <w:tc>
          <w:tcPr>
            <w:tcW w:w="0" w:type="auto"/>
            <w:hideMark/>
          </w:tcPr>
          <w:p w14:paraId="62D5BC16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Ritarare le misure igieniche sul perimetro “manipolazione attiva” (non genericamente tutte le attività).</w:t>
            </w:r>
          </w:p>
        </w:tc>
        <w:tc>
          <w:tcPr>
            <w:tcW w:w="0" w:type="auto"/>
            <w:hideMark/>
          </w:tcPr>
          <w:p w14:paraId="3C9D73EE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252, c.1 (alinea sostituito)</w:t>
            </w:r>
          </w:p>
        </w:tc>
        <w:tc>
          <w:tcPr>
            <w:tcW w:w="0" w:type="auto"/>
            <w:hideMark/>
          </w:tcPr>
          <w:p w14:paraId="7F75466D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igieniche; dotazioni spogliatoi/Docce; protocolli pulizia</w:t>
            </w:r>
          </w:p>
        </w:tc>
        <w:tc>
          <w:tcPr>
            <w:tcW w:w="0" w:type="auto"/>
            <w:hideMark/>
          </w:tcPr>
          <w:p w14:paraId="511BC30D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Valutare comunque misure igieniche anche fuori manipolazione attiva se rischio concreto (approccio prudenziale)</w:t>
            </w:r>
          </w:p>
        </w:tc>
      </w:tr>
      <w:tr w:rsidR="000964CC" w:rsidRPr="000964CC" w14:paraId="5A9B7F25" w14:textId="77777777" w:rsidTr="000964CC">
        <w:tc>
          <w:tcPr>
            <w:tcW w:w="0" w:type="auto"/>
            <w:hideMark/>
          </w:tcPr>
          <w:p w14:paraId="4C655ECB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16. Programma di misurazioni</w:t>
            </w:r>
          </w:p>
        </w:tc>
        <w:tc>
          <w:tcPr>
            <w:tcW w:w="0" w:type="auto"/>
            <w:hideMark/>
          </w:tcPr>
          <w:p w14:paraId="67F27E77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Pianificare misurazioni a intervalli regolari durante specifiche fasi operative; campionamento personale sul lavoratore e, a integrazione, ambientale in luogo confinato; inserire risultati nel DVR.</w:t>
            </w:r>
          </w:p>
        </w:tc>
        <w:tc>
          <w:tcPr>
            <w:tcW w:w="0" w:type="auto"/>
            <w:hideMark/>
          </w:tcPr>
          <w:p w14:paraId="5CEA8A93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253, commi 1–2</w:t>
            </w:r>
          </w:p>
        </w:tc>
        <w:tc>
          <w:tcPr>
            <w:tcW w:w="0" w:type="auto"/>
            <w:hideMark/>
          </w:tcPr>
          <w:p w14:paraId="2CD3001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Piano campionamenti; rapporti di prova laboratorio; aggiornamenti DVR; </w:t>
            </w:r>
            <w:proofErr w:type="gramStart"/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trend</w:t>
            </w:r>
            <w:proofErr w:type="gramEnd"/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analisi</w:t>
            </w:r>
          </w:p>
        </w:tc>
        <w:tc>
          <w:tcPr>
            <w:tcW w:w="0" w:type="auto"/>
            <w:hideMark/>
          </w:tcPr>
          <w:p w14:paraId="35B778A1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Stabilire criteri: frequenza, fasi “</w:t>
            </w:r>
            <w:proofErr w:type="spellStart"/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worst</w:t>
            </w:r>
            <w:proofErr w:type="spellEnd"/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case”, accettazione risultati e azioni correttive</w:t>
            </w:r>
          </w:p>
        </w:tc>
      </w:tr>
      <w:tr w:rsidR="000964CC" w:rsidRPr="000964CC" w14:paraId="4CCC6AE8" w14:textId="77777777" w:rsidTr="000964CC">
        <w:tc>
          <w:tcPr>
            <w:tcW w:w="0" w:type="auto"/>
            <w:hideMark/>
          </w:tcPr>
          <w:p w14:paraId="1A69934C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17. Requisiti di prelievo (qualifica e base tecnica)</w:t>
            </w:r>
          </w:p>
        </w:tc>
        <w:tc>
          <w:tcPr>
            <w:tcW w:w="0" w:type="auto"/>
            <w:hideMark/>
          </w:tcPr>
          <w:p w14:paraId="5F4490D1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Garantire che il prelievo campioni sia svolto da personale qualificato del servizio ex art. 31 e secondo Allegato V DM 14/05/1996.</w:t>
            </w:r>
          </w:p>
        </w:tc>
        <w:tc>
          <w:tcPr>
            <w:tcW w:w="0" w:type="auto"/>
            <w:hideMark/>
          </w:tcPr>
          <w:p w14:paraId="64748355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253, c.4 (modifica)</w:t>
            </w:r>
          </w:p>
        </w:tc>
        <w:tc>
          <w:tcPr>
            <w:tcW w:w="0" w:type="auto"/>
            <w:hideMark/>
          </w:tcPr>
          <w:p w14:paraId="64DF32D0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Nomine/qualifiche; procedure campionamento; catena di custodia campioni</w:t>
            </w:r>
          </w:p>
        </w:tc>
        <w:tc>
          <w:tcPr>
            <w:tcW w:w="0" w:type="auto"/>
            <w:hideMark/>
          </w:tcPr>
          <w:p w14:paraId="61AD34B8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 contratti con consulenti/laboratori: ruoli e responsabilità formalizzati</w:t>
            </w:r>
          </w:p>
        </w:tc>
      </w:tr>
      <w:tr w:rsidR="000964CC" w:rsidRPr="000964CC" w14:paraId="529ECF65" w14:textId="77777777" w:rsidTr="000964CC">
        <w:tc>
          <w:tcPr>
            <w:tcW w:w="0" w:type="auto"/>
            <w:hideMark/>
          </w:tcPr>
          <w:p w14:paraId="592E2DFB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18. Metodo analitico fino al 20/12/2029</w:t>
            </w:r>
          </w:p>
        </w:tc>
        <w:tc>
          <w:tcPr>
            <w:tcW w:w="0" w:type="auto"/>
            <w:hideMark/>
          </w:tcPr>
          <w:p w14:paraId="5BA6DF02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Usare microscopia ottica in contrasto di fase e conteggio fibre OMS 1997 (o equivalente) fino al 20/12/2029.</w:t>
            </w:r>
          </w:p>
        </w:tc>
        <w:tc>
          <w:tcPr>
            <w:tcW w:w="0" w:type="auto"/>
            <w:hideMark/>
          </w:tcPr>
          <w:p w14:paraId="2BC62DFD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253, c.6</w:t>
            </w:r>
          </w:p>
        </w:tc>
        <w:tc>
          <w:tcPr>
            <w:tcW w:w="0" w:type="auto"/>
            <w:hideMark/>
          </w:tcPr>
          <w:p w14:paraId="6CDF09B7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Rapporti di prova con metodo dichiarato; accreditamenti laboratorio</w:t>
            </w:r>
          </w:p>
        </w:tc>
        <w:tc>
          <w:tcPr>
            <w:tcW w:w="0" w:type="auto"/>
            <w:hideMark/>
          </w:tcPr>
          <w:p w14:paraId="4384A445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capitolati inserire esplicitamente metodo e reporting (LOD/LOQ, incertezze, condizioni di campionamento)</w:t>
            </w:r>
          </w:p>
        </w:tc>
      </w:tr>
      <w:tr w:rsidR="000964CC" w:rsidRPr="000964CC" w14:paraId="3934B866" w14:textId="77777777" w:rsidTr="000964CC">
        <w:tc>
          <w:tcPr>
            <w:tcW w:w="0" w:type="auto"/>
            <w:hideMark/>
          </w:tcPr>
          <w:p w14:paraId="318737D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19. Transizione dal 21/12/2029</w:t>
            </w:r>
          </w:p>
        </w:tc>
        <w:tc>
          <w:tcPr>
            <w:tcW w:w="0" w:type="auto"/>
            <w:hideMark/>
          </w:tcPr>
          <w:p w14:paraId="2B7657B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Prepararsi alla microscopia elettronica o metodi equivalenti/più accurati includendo fibre &lt;0,2 </w:t>
            </w:r>
            <w:proofErr w:type="spellStart"/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μm</w:t>
            </w:r>
            <w:proofErr w:type="spellEnd"/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adeguare contratti/laboratori; monitorare il futuro decreto ministeriale su campionamento/conteggio.</w:t>
            </w:r>
          </w:p>
        </w:tc>
        <w:tc>
          <w:tcPr>
            <w:tcW w:w="0" w:type="auto"/>
            <w:hideMark/>
          </w:tcPr>
          <w:p w14:paraId="76103084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253, c.6-bis</w:t>
            </w:r>
          </w:p>
        </w:tc>
        <w:tc>
          <w:tcPr>
            <w:tcW w:w="0" w:type="auto"/>
            <w:hideMark/>
          </w:tcPr>
          <w:p w14:paraId="66222FC3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transizione; aggiornamento capitolati; elenco laboratori idonei</w:t>
            </w:r>
          </w:p>
        </w:tc>
        <w:tc>
          <w:tcPr>
            <w:tcW w:w="0" w:type="auto"/>
            <w:hideMark/>
          </w:tcPr>
          <w:p w14:paraId="488F36C3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Inserire “clausola di aggiornamento normativo” nei contratti pluriennali</w:t>
            </w:r>
          </w:p>
        </w:tc>
      </w:tr>
      <w:tr w:rsidR="000964CC" w:rsidRPr="000964CC" w14:paraId="0944F93A" w14:textId="77777777" w:rsidTr="000964CC">
        <w:tc>
          <w:tcPr>
            <w:tcW w:w="0" w:type="auto"/>
            <w:hideMark/>
          </w:tcPr>
          <w:p w14:paraId="3692E790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20. Valore limite (TWA 8 ore)</w:t>
            </w:r>
          </w:p>
        </w:tc>
        <w:tc>
          <w:tcPr>
            <w:tcW w:w="0" w:type="auto"/>
            <w:hideMark/>
          </w:tcPr>
          <w:p w14:paraId="3CCA563B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Applicare il valore limite: </w:t>
            </w:r>
            <w:r w:rsidRPr="00096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0,01 fibre/cm³</w:t>
            </w: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(media ponderata 8 ore). Continuità del valore; cambia la “conformità di misura” dal 2029.</w:t>
            </w:r>
          </w:p>
        </w:tc>
        <w:tc>
          <w:tcPr>
            <w:tcW w:w="0" w:type="auto"/>
            <w:hideMark/>
          </w:tcPr>
          <w:p w14:paraId="395AE3E2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254, c.1</w:t>
            </w:r>
          </w:p>
        </w:tc>
        <w:tc>
          <w:tcPr>
            <w:tcW w:w="0" w:type="auto"/>
            <w:hideMark/>
          </w:tcPr>
          <w:p w14:paraId="6EE535C2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gestione limite; soglie interne di allerta; reporting a direzione</w:t>
            </w:r>
          </w:p>
        </w:tc>
        <w:tc>
          <w:tcPr>
            <w:tcW w:w="0" w:type="auto"/>
            <w:hideMark/>
          </w:tcPr>
          <w:p w14:paraId="6A4C3974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Buona prassi: soglia di azione interna più conservativa e trigger di revisione misure</w:t>
            </w:r>
          </w:p>
        </w:tc>
      </w:tr>
      <w:tr w:rsidR="000964CC" w:rsidRPr="000964CC" w14:paraId="30AC11C0" w14:textId="77777777" w:rsidTr="000964CC">
        <w:tc>
          <w:tcPr>
            <w:tcW w:w="0" w:type="auto"/>
            <w:hideMark/>
          </w:tcPr>
          <w:p w14:paraId="3619D0A1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21. Superamento limite / materiali non identificati</w:t>
            </w:r>
          </w:p>
        </w:tc>
        <w:tc>
          <w:tcPr>
            <w:tcW w:w="0" w:type="auto"/>
            <w:hideMark/>
          </w:tcPr>
          <w:p w14:paraId="176590EC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 superamento limite o sospetto di materiali non identificati che generino polvere: fermare immediatamente i lavori; riprendere solo dopo misure adeguate; analizzare cause e adottare misure correttive quanto prima.</w:t>
            </w:r>
          </w:p>
        </w:tc>
        <w:tc>
          <w:tcPr>
            <w:tcW w:w="0" w:type="auto"/>
            <w:hideMark/>
          </w:tcPr>
          <w:p w14:paraId="2E757ECF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254, c.2</w:t>
            </w:r>
          </w:p>
        </w:tc>
        <w:tc>
          <w:tcPr>
            <w:tcW w:w="0" w:type="auto"/>
            <w:hideMark/>
          </w:tcPr>
          <w:p w14:paraId="6C8E9334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Verbali stop work; RCA (root cause </w:t>
            </w:r>
            <w:proofErr w:type="spellStart"/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analysis</w:t>
            </w:r>
            <w:proofErr w:type="spellEnd"/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); aggiornamento POS; nuove misure e riesame DVR</w:t>
            </w:r>
          </w:p>
        </w:tc>
        <w:tc>
          <w:tcPr>
            <w:tcW w:w="0" w:type="auto"/>
            <w:hideMark/>
          </w:tcPr>
          <w:p w14:paraId="34B22116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Prevedere “Stop Work Authority” per preposti e lavoratori (procedura e formazione)</w:t>
            </w:r>
          </w:p>
        </w:tc>
      </w:tr>
      <w:tr w:rsidR="000964CC" w:rsidRPr="000964CC" w14:paraId="7F1D5BFA" w14:textId="77777777" w:rsidTr="000964CC">
        <w:tc>
          <w:tcPr>
            <w:tcW w:w="0" w:type="auto"/>
            <w:hideMark/>
          </w:tcPr>
          <w:p w14:paraId="5431B48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22. Lavori in confinamento (tenuta aria + estrazione)</w:t>
            </w:r>
          </w:p>
        </w:tc>
        <w:tc>
          <w:tcPr>
            <w:tcW w:w="0" w:type="auto"/>
            <w:hideMark/>
          </w:tcPr>
          <w:p w14:paraId="11E7D80B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Rendere l’area confinata a tenuta d’aria e ventilata mediante estrazione meccanica.</w:t>
            </w:r>
          </w:p>
        </w:tc>
        <w:tc>
          <w:tcPr>
            <w:tcW w:w="0" w:type="auto"/>
            <w:hideMark/>
          </w:tcPr>
          <w:p w14:paraId="0657E38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255, c.1, lett. c</w:t>
            </w:r>
          </w:p>
        </w:tc>
        <w:tc>
          <w:tcPr>
            <w:tcW w:w="0" w:type="auto"/>
            <w:hideMark/>
          </w:tcPr>
          <w:p w14:paraId="74C0A175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confinamento; schemi ventilazione; verifiche tenuta/pressioni</w:t>
            </w:r>
          </w:p>
        </w:tc>
        <w:tc>
          <w:tcPr>
            <w:tcW w:w="0" w:type="auto"/>
            <w:hideMark/>
          </w:tcPr>
          <w:p w14:paraId="1CFF0988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Audit tecnico: portate, filtri, manutenzione, registrazione parametri</w:t>
            </w:r>
          </w:p>
        </w:tc>
      </w:tr>
      <w:tr w:rsidR="000964CC" w:rsidRPr="000964CC" w14:paraId="3CA92261" w14:textId="77777777" w:rsidTr="000964CC">
        <w:tc>
          <w:tcPr>
            <w:tcW w:w="0" w:type="auto"/>
            <w:hideMark/>
          </w:tcPr>
          <w:p w14:paraId="245E8128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23. Piano di lavoro bonifica</w:t>
            </w:r>
          </w:p>
        </w:tc>
        <w:tc>
          <w:tcPr>
            <w:tcW w:w="0" w:type="auto"/>
            <w:hideMark/>
          </w:tcPr>
          <w:p w14:paraId="588D8E68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Integrare nel piano di lavoro: verifica assenza rischi prima di ripresa altre attività, anche tramite misurazione ambientale nel luogo confinato.</w:t>
            </w:r>
          </w:p>
        </w:tc>
        <w:tc>
          <w:tcPr>
            <w:tcW w:w="0" w:type="auto"/>
            <w:hideMark/>
          </w:tcPr>
          <w:p w14:paraId="499D126F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256, c.4, lett. c (modifica)</w:t>
            </w:r>
          </w:p>
        </w:tc>
        <w:tc>
          <w:tcPr>
            <w:tcW w:w="0" w:type="auto"/>
            <w:hideMark/>
          </w:tcPr>
          <w:p w14:paraId="29D90052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Piano di lavoro; check fine lavori; rapporti misure ambientali (se eseguite)</w:t>
            </w:r>
          </w:p>
        </w:tc>
        <w:tc>
          <w:tcPr>
            <w:tcW w:w="0" w:type="auto"/>
            <w:hideMark/>
          </w:tcPr>
          <w:p w14:paraId="04EE1505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Definire criteri di “clearance” e responsabilità di rilascio area</w:t>
            </w:r>
          </w:p>
        </w:tc>
      </w:tr>
      <w:tr w:rsidR="000964CC" w:rsidRPr="000964CC" w14:paraId="2B07109C" w14:textId="77777777" w:rsidTr="000964CC">
        <w:tc>
          <w:tcPr>
            <w:tcW w:w="0" w:type="auto"/>
            <w:hideMark/>
          </w:tcPr>
          <w:p w14:paraId="3F98BA9B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24. Formazione (DPI e </w:t>
            </w: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respiratori)</w:t>
            </w:r>
          </w:p>
        </w:tc>
        <w:tc>
          <w:tcPr>
            <w:tcW w:w="0" w:type="auto"/>
            <w:hideMark/>
          </w:tcPr>
          <w:p w14:paraId="613B9E34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Aggiornare programma formativo includendo funzione/scelta/limiti/corretta </w:t>
            </w: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utilizzazione DPI con focus respiratori.</w:t>
            </w:r>
          </w:p>
        </w:tc>
        <w:tc>
          <w:tcPr>
            <w:tcW w:w="0" w:type="auto"/>
            <w:hideMark/>
          </w:tcPr>
          <w:p w14:paraId="47311F2F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Art. 258, c.2, lett. e</w:t>
            </w:r>
          </w:p>
        </w:tc>
        <w:tc>
          <w:tcPr>
            <w:tcW w:w="0" w:type="auto"/>
            <w:hideMark/>
          </w:tcPr>
          <w:p w14:paraId="4286364D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 corso; registri; test apprendimento; attestati</w:t>
            </w:r>
          </w:p>
        </w:tc>
        <w:tc>
          <w:tcPr>
            <w:tcW w:w="0" w:type="auto"/>
            <w:hideMark/>
          </w:tcPr>
          <w:p w14:paraId="31DDF4DA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Verificare coerenza tra formazione e DPI effettivamente utilizzati in </w:t>
            </w: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commessa</w:t>
            </w:r>
          </w:p>
        </w:tc>
      </w:tr>
      <w:tr w:rsidR="000964CC" w:rsidRPr="000964CC" w14:paraId="721DA7C5" w14:textId="77777777" w:rsidTr="000964CC">
        <w:tc>
          <w:tcPr>
            <w:tcW w:w="0" w:type="auto"/>
            <w:hideMark/>
          </w:tcPr>
          <w:p w14:paraId="4914FA1A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25. Formazione “adattata”</w:t>
            </w:r>
          </w:p>
        </w:tc>
        <w:tc>
          <w:tcPr>
            <w:tcW w:w="0" w:type="auto"/>
            <w:hideMark/>
          </w:tcPr>
          <w:p w14:paraId="44CB9196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Personalizzare la formazione in base a mansione, compiti e metodi specifici.</w:t>
            </w:r>
          </w:p>
        </w:tc>
        <w:tc>
          <w:tcPr>
            <w:tcW w:w="0" w:type="auto"/>
            <w:hideMark/>
          </w:tcPr>
          <w:p w14:paraId="509CEEAC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258, c.2-bis</w:t>
            </w:r>
          </w:p>
        </w:tc>
        <w:tc>
          <w:tcPr>
            <w:tcW w:w="0" w:type="auto"/>
            <w:hideMark/>
          </w:tcPr>
          <w:p w14:paraId="2F7D2BC1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Matrice mansioni–moduli; registri addestramento pratico</w:t>
            </w:r>
          </w:p>
        </w:tc>
        <w:tc>
          <w:tcPr>
            <w:tcW w:w="0" w:type="auto"/>
            <w:hideMark/>
          </w:tcPr>
          <w:p w14:paraId="70045AD6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Audit: evidenze pratiche (prove </w:t>
            </w:r>
            <w:proofErr w:type="spellStart"/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indossamento</w:t>
            </w:r>
            <w:proofErr w:type="spellEnd"/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/tenuta, procedure decontaminazione)</w:t>
            </w:r>
          </w:p>
        </w:tc>
      </w:tr>
      <w:tr w:rsidR="000964CC" w:rsidRPr="000964CC" w14:paraId="3082FB48" w14:textId="77777777" w:rsidTr="000964CC">
        <w:tc>
          <w:tcPr>
            <w:tcW w:w="0" w:type="auto"/>
            <w:hideMark/>
          </w:tcPr>
          <w:p w14:paraId="76BA1D4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26. Sorveglianza sanitaria (periodicità)</w:t>
            </w:r>
          </w:p>
        </w:tc>
        <w:tc>
          <w:tcPr>
            <w:tcW w:w="0" w:type="auto"/>
            <w:hideMark/>
          </w:tcPr>
          <w:p w14:paraId="5D0268F0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Effettuare visita preventiva e periodica </w:t>
            </w:r>
            <w:r w:rsidRPr="00096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almeno ogni </w:t>
            </w:r>
            <w:proofErr w:type="gramStart"/>
            <w:r w:rsidRPr="00096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  <w:proofErr w:type="gramEnd"/>
            <w:r w:rsidRPr="000964C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 xml:space="preserve"> anni</w:t>
            </w: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(salvo diversa periodicità del MC) per lavoratori con rischio da manipolazione attiva; includere verifica idoneità a indossare respiratori.</w:t>
            </w:r>
          </w:p>
        </w:tc>
        <w:tc>
          <w:tcPr>
            <w:tcW w:w="0" w:type="auto"/>
            <w:hideMark/>
          </w:tcPr>
          <w:p w14:paraId="40809CEC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259, c.1</w:t>
            </w:r>
          </w:p>
        </w:tc>
        <w:tc>
          <w:tcPr>
            <w:tcW w:w="0" w:type="auto"/>
            <w:hideMark/>
          </w:tcPr>
          <w:p w14:paraId="2110EC7E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Protocollo sanitario; giudizi idoneità; calendario visite</w:t>
            </w:r>
          </w:p>
        </w:tc>
        <w:tc>
          <w:tcPr>
            <w:tcW w:w="0" w:type="auto"/>
            <w:hideMark/>
          </w:tcPr>
          <w:p w14:paraId="214D60B0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Allineare a notifica: data ultima visita medica deve essere disponibile e verificata</w:t>
            </w:r>
          </w:p>
        </w:tc>
      </w:tr>
      <w:tr w:rsidR="000964CC" w:rsidRPr="000964CC" w14:paraId="3B69DA1A" w14:textId="77777777" w:rsidTr="000964CC">
        <w:tc>
          <w:tcPr>
            <w:tcW w:w="0" w:type="auto"/>
            <w:hideMark/>
          </w:tcPr>
          <w:p w14:paraId="2BEECD9A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27. Visita a cessazione rapporto</w:t>
            </w:r>
          </w:p>
        </w:tc>
        <w:tc>
          <w:tcPr>
            <w:tcW w:w="0" w:type="auto"/>
            <w:hideMark/>
          </w:tcPr>
          <w:p w14:paraId="03525BA0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Effettuare visita medica alla cessazione del rapporto per i lavoratori interessati.</w:t>
            </w:r>
          </w:p>
        </w:tc>
        <w:tc>
          <w:tcPr>
            <w:tcW w:w="0" w:type="auto"/>
            <w:hideMark/>
          </w:tcPr>
          <w:p w14:paraId="0991B1F7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259, c.2</w:t>
            </w:r>
          </w:p>
        </w:tc>
        <w:tc>
          <w:tcPr>
            <w:tcW w:w="0" w:type="auto"/>
            <w:hideMark/>
          </w:tcPr>
          <w:p w14:paraId="356503FC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Verbali visita; consegna indicazioni al lavoratore</w:t>
            </w:r>
          </w:p>
        </w:tc>
        <w:tc>
          <w:tcPr>
            <w:tcW w:w="0" w:type="auto"/>
            <w:hideMark/>
          </w:tcPr>
          <w:p w14:paraId="7F56AE4E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Integrare nel processo HR di </w:t>
            </w:r>
            <w:proofErr w:type="spellStart"/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offboarding</w:t>
            </w:r>
            <w:proofErr w:type="spellEnd"/>
          </w:p>
        </w:tc>
      </w:tr>
      <w:tr w:rsidR="000964CC" w:rsidRPr="000964CC" w14:paraId="3B1E6BFE" w14:textId="77777777" w:rsidTr="000964CC">
        <w:tc>
          <w:tcPr>
            <w:tcW w:w="0" w:type="auto"/>
            <w:hideMark/>
          </w:tcPr>
          <w:p w14:paraId="66E0E358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28. Registro esposti e invii</w:t>
            </w:r>
          </w:p>
        </w:tc>
        <w:tc>
          <w:tcPr>
            <w:tcW w:w="0" w:type="auto"/>
            <w:hideMark/>
          </w:tcPr>
          <w:p w14:paraId="5C7EA73F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Iscrivere i lavoratori nel registro ex art. 243 e inviare copia a vigilanza e INAIL; aggiornare modulistica sostituendo ISPESL con INAIL.</w:t>
            </w:r>
          </w:p>
        </w:tc>
        <w:tc>
          <w:tcPr>
            <w:tcW w:w="0" w:type="auto"/>
            <w:hideMark/>
          </w:tcPr>
          <w:p w14:paraId="01E2F488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260 (modifiche)</w:t>
            </w:r>
          </w:p>
        </w:tc>
        <w:tc>
          <w:tcPr>
            <w:tcW w:w="0" w:type="auto"/>
            <w:hideMark/>
          </w:tcPr>
          <w:p w14:paraId="7ACBB44F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Registro esposti; protocolli invio; tracciabilità invii</w:t>
            </w:r>
          </w:p>
        </w:tc>
        <w:tc>
          <w:tcPr>
            <w:tcW w:w="0" w:type="auto"/>
            <w:hideMark/>
          </w:tcPr>
          <w:p w14:paraId="73D12FA9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periodicamente coerenza nominativi tra registro, notifica e turnazioni</w:t>
            </w:r>
          </w:p>
        </w:tc>
      </w:tr>
      <w:tr w:rsidR="000964CC" w:rsidRPr="000964CC" w14:paraId="44E0AB4A" w14:textId="77777777" w:rsidTr="000964CC">
        <w:tc>
          <w:tcPr>
            <w:tcW w:w="0" w:type="auto"/>
            <w:hideMark/>
          </w:tcPr>
          <w:p w14:paraId="1921C405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29. Patologie correlate e Allegato XLIII-ter</w:t>
            </w:r>
          </w:p>
        </w:tc>
        <w:tc>
          <w:tcPr>
            <w:tcW w:w="0" w:type="auto"/>
            <w:hideMark/>
          </w:tcPr>
          <w:p w14:paraId="3F69B800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Aggiornare gestione informativa su patologie correlate richiamate dall’Allegato XLIII-ter (asbestosi, mesotelioma, cancro polmone, GI, laringe, ovaie, pleuriche non maligne) e applicare le disposizioni dell’art. 244, c.3 nei casi pertinenti.</w:t>
            </w:r>
          </w:p>
        </w:tc>
        <w:tc>
          <w:tcPr>
            <w:tcW w:w="0" w:type="auto"/>
            <w:hideMark/>
          </w:tcPr>
          <w:p w14:paraId="55C4BD14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261 (sostituito) + Allegato XLIII-ter</w:t>
            </w:r>
          </w:p>
        </w:tc>
        <w:tc>
          <w:tcPr>
            <w:tcW w:w="0" w:type="auto"/>
            <w:hideMark/>
          </w:tcPr>
          <w:p w14:paraId="77968360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Procedure segnalazione/gestione; interfaccia MC; flussi verso INAIL/enti (secondo casi)</w:t>
            </w:r>
          </w:p>
        </w:tc>
        <w:tc>
          <w:tcPr>
            <w:tcW w:w="0" w:type="auto"/>
            <w:hideMark/>
          </w:tcPr>
          <w:p w14:paraId="643AF548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Coordinare con privacy e gestione dati sanitari: accesso limitato e tracciato</w:t>
            </w:r>
          </w:p>
        </w:tc>
      </w:tr>
      <w:tr w:rsidR="000964CC" w:rsidRPr="000964CC" w14:paraId="3E68B267" w14:textId="77777777" w:rsidTr="000964CC">
        <w:tc>
          <w:tcPr>
            <w:tcW w:w="0" w:type="auto"/>
            <w:hideMark/>
          </w:tcPr>
          <w:p w14:paraId="7A181171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30. Sanzioni: aggiornamento “rischi di non conformità”</w:t>
            </w:r>
          </w:p>
        </w:tc>
        <w:tc>
          <w:tcPr>
            <w:tcW w:w="0" w:type="auto"/>
            <w:hideMark/>
          </w:tcPr>
          <w:p w14:paraId="08621AE8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Riesaminare il modello di controllo interno includendo i nuovi obblighi sanzionabili (art. 249 c.1-bis; art. 250 c.2-bis).</w:t>
            </w:r>
          </w:p>
        </w:tc>
        <w:tc>
          <w:tcPr>
            <w:tcW w:w="0" w:type="auto"/>
            <w:hideMark/>
          </w:tcPr>
          <w:p w14:paraId="36AEFDB0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262 (rinvii aggiornati)</w:t>
            </w:r>
          </w:p>
        </w:tc>
        <w:tc>
          <w:tcPr>
            <w:tcW w:w="0" w:type="auto"/>
            <w:hideMark/>
          </w:tcPr>
          <w:p w14:paraId="724726BF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Matrice compliance; piano audit; checklist ispettiva interna</w:t>
            </w:r>
          </w:p>
        </w:tc>
        <w:tc>
          <w:tcPr>
            <w:tcW w:w="0" w:type="auto"/>
            <w:hideMark/>
          </w:tcPr>
          <w:p w14:paraId="2EA6571D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Integrare nel MOG 231/ISO 45001 (se presenti) come requisiti cogenti aggiornati</w:t>
            </w:r>
          </w:p>
        </w:tc>
      </w:tr>
      <w:tr w:rsidR="000964CC" w:rsidRPr="000964CC" w14:paraId="089EDF05" w14:textId="77777777" w:rsidTr="000964CC">
        <w:tc>
          <w:tcPr>
            <w:tcW w:w="0" w:type="auto"/>
            <w:hideMark/>
          </w:tcPr>
          <w:p w14:paraId="5190DC1A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31. Sistema archiviazione e continuità</w:t>
            </w:r>
          </w:p>
        </w:tc>
        <w:tc>
          <w:tcPr>
            <w:tcW w:w="0" w:type="auto"/>
            <w:hideMark/>
          </w:tcPr>
          <w:p w14:paraId="3D58C49C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Implementare un sistema robusto per archiviazione lunga (40 anni): responsabilità, formati, backup, migrazione, conservazione sostitutiva se adottata.</w:t>
            </w:r>
          </w:p>
        </w:tc>
        <w:tc>
          <w:tcPr>
            <w:tcW w:w="0" w:type="auto"/>
            <w:hideMark/>
          </w:tcPr>
          <w:p w14:paraId="117B757B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Art. 250, c.2-bis</w:t>
            </w:r>
          </w:p>
        </w:tc>
        <w:tc>
          <w:tcPr>
            <w:tcW w:w="0" w:type="auto"/>
            <w:hideMark/>
          </w:tcPr>
          <w:p w14:paraId="4856BD3C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Policy archiviazione; registro </w:t>
            </w:r>
            <w:proofErr w:type="spellStart"/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retention</w:t>
            </w:r>
            <w:proofErr w:type="spellEnd"/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test ripristino periodici</w:t>
            </w:r>
          </w:p>
        </w:tc>
        <w:tc>
          <w:tcPr>
            <w:tcW w:w="0" w:type="auto"/>
            <w:hideMark/>
          </w:tcPr>
          <w:p w14:paraId="42A68090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Controllo: prova annuale di </w:t>
            </w:r>
            <w:proofErr w:type="spellStart"/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restore</w:t>
            </w:r>
            <w:proofErr w:type="spellEnd"/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verifica leggibilità documenti</w:t>
            </w:r>
          </w:p>
        </w:tc>
      </w:tr>
      <w:tr w:rsidR="000964CC" w:rsidRPr="000964CC" w14:paraId="54BB5ADA" w14:textId="77777777" w:rsidTr="000964CC">
        <w:tc>
          <w:tcPr>
            <w:tcW w:w="0" w:type="auto"/>
            <w:hideMark/>
          </w:tcPr>
          <w:p w14:paraId="51DE79F6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32. Riesame periodico e </w:t>
            </w: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monitoraggio KPI</w:t>
            </w:r>
          </w:p>
        </w:tc>
        <w:tc>
          <w:tcPr>
            <w:tcW w:w="0" w:type="auto"/>
            <w:hideMark/>
          </w:tcPr>
          <w:p w14:paraId="5EF9C694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 xml:space="preserve">Definire KPI e riesame periodico: cantieri con indagine preventiva completata, </w:t>
            </w: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notifiche complete, misure entro limite, audit DPI, esiti sorveglianza sanitaria, gestione rifiuti, non conformità e azioni correttive.</w:t>
            </w:r>
          </w:p>
        </w:tc>
        <w:tc>
          <w:tcPr>
            <w:tcW w:w="0" w:type="auto"/>
            <w:hideMark/>
          </w:tcPr>
          <w:p w14:paraId="2F441168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Trasversale (artt. 248–</w:t>
            </w: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254–258–260)</w:t>
            </w:r>
          </w:p>
        </w:tc>
        <w:tc>
          <w:tcPr>
            <w:tcW w:w="0" w:type="auto"/>
            <w:hideMark/>
          </w:tcPr>
          <w:p w14:paraId="615C7D00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Dashboard KPI; verbali riesame; piani azione</w:t>
            </w:r>
          </w:p>
        </w:tc>
        <w:tc>
          <w:tcPr>
            <w:tcW w:w="0" w:type="auto"/>
            <w:hideMark/>
          </w:tcPr>
          <w:p w14:paraId="34344803" w14:textId="77777777" w:rsidR="000964CC" w:rsidRPr="000964CC" w:rsidRDefault="000964CC" w:rsidP="000964CC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Buona prassi: “learning loop” (</w:t>
            </w:r>
            <w:proofErr w:type="spellStart"/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near</w:t>
            </w:r>
            <w:proofErr w:type="spellEnd"/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miss, stop work, audit) integrato nel </w:t>
            </w:r>
            <w:r w:rsidRPr="000964C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DVR/POS</w:t>
            </w:r>
          </w:p>
        </w:tc>
      </w:tr>
    </w:tbl>
    <w:p w14:paraId="51483697" w14:textId="77777777" w:rsidR="000964CC" w:rsidRDefault="000964CC" w:rsidP="000964CC">
      <w:pPr>
        <w:jc w:val="center"/>
        <w:rPr>
          <w:b/>
          <w:bCs/>
          <w:sz w:val="44"/>
          <w:szCs w:val="44"/>
        </w:rPr>
      </w:pPr>
    </w:p>
    <w:p w14:paraId="35DB5726" w14:textId="77777777" w:rsidR="000964CC" w:rsidRDefault="000964CC" w:rsidP="000964CC">
      <w:pPr>
        <w:pStyle w:val="NormaleWeb"/>
      </w:pPr>
      <w:r>
        <w:rPr>
          <w:rStyle w:val="Enfasigrassetto"/>
          <w:rFonts w:eastAsiaTheme="majorEastAsia"/>
        </w:rPr>
        <w:t>DISCLAIMER – Uso informativo e limiti di responsabilità</w:t>
      </w:r>
      <w:r>
        <w:br/>
        <w:t xml:space="preserve">La presente tabella è predisposta esclusivamente a scopo informativo, di supporto operativo e di orientamento alla lettura delle modifiche normative relative alla protezione dei lavoratori dall’esposizione all’amianto, con riferimento al </w:t>
      </w:r>
      <w:proofErr w:type="spellStart"/>
      <w:r>
        <w:t>D.Lgs.</w:t>
      </w:r>
      <w:proofErr w:type="spellEnd"/>
      <w:r>
        <w:t xml:space="preserve"> 81/2008 (Titolo IX, Capo III) come modificato dal </w:t>
      </w:r>
      <w:proofErr w:type="spellStart"/>
      <w:r>
        <w:t>D.Lgs.</w:t>
      </w:r>
      <w:proofErr w:type="spellEnd"/>
      <w:r>
        <w:t xml:space="preserve"> 31 dicembre 2025, n. 213 (attuazione della Direttiva (UE) 2023/2668).</w:t>
      </w:r>
    </w:p>
    <w:p w14:paraId="3AAB2539" w14:textId="77777777" w:rsidR="000964CC" w:rsidRDefault="000964CC" w:rsidP="000964CC">
      <w:pPr>
        <w:pStyle w:val="NormaleWeb"/>
      </w:pPr>
      <w:r>
        <w:t>Il contenuto non costituisce consulenza legale, tecnica o medico-competente, né sostituisce gli obblighi del datore di lavoro, del committente, dei dirigenti, dei preposti, del RSPP/ASPP, del coordinatore per la sicurezza, del medico competente e di ogni altro soggetto titolare di obblighi ai sensi della normativa vigente. L’adozione di misure di prevenzione e protezione richiede sempre una valutazione specifica del contesto (tipologia di attività, materiali e condizioni operative, esposizione attesa, tecniche di bonifica, DPI, procedure di decontaminazione, organizzazione del cantiere, sorveglianza sanitaria e gestione rifiuti) e l’eventuale coinvolgimento di figure qualificate e laboratori competenti secondo le disposizioni applicabili.</w:t>
      </w:r>
    </w:p>
    <w:p w14:paraId="52BFBC12" w14:textId="77777777" w:rsidR="000964CC" w:rsidRDefault="000964CC" w:rsidP="000964CC">
      <w:pPr>
        <w:pStyle w:val="NormaleWeb"/>
      </w:pPr>
      <w:r>
        <w:t>Nonostante l’attenzione posta nella predisposizione, la tabella può contenere imprecisioni, omissioni o sintesi non esaustive, anche per effetto di successive modifiche normative, prassi applicative, indicazioni delle autorità competenti o aggiornamenti tecnici (es. metodi di campionamento/analisi e disposizioni transitorie). Si raccomanda di verificare sempre il testo ufficiale pubblicato in Gazzetta Ufficiale e le fonti istituzionali, nonché la coerenza con procedure aziendali, DVR, POS/PSC e documentazione di cantiere.</w:t>
      </w:r>
    </w:p>
    <w:p w14:paraId="209ED981" w14:textId="77777777" w:rsidR="000964CC" w:rsidRDefault="000964CC" w:rsidP="000964CC">
      <w:pPr>
        <w:pStyle w:val="NormaleWeb"/>
      </w:pPr>
      <w:r>
        <w:t>L’autore/compilatore e l’organizzazione che diffonde la tabella declinano ogni responsabilità per utilizzi impropri, interpretazioni non corrette o decisioni assunte sulla sola base di questo documento. L’utilizzatore accetta che l’impiego della tabella avvenga sotto la propria esclusiva responsabilità, nel rispetto delle norme vigenti e delle indicazioni degli organi di vigilanza e delle figure competenti.</w:t>
      </w:r>
    </w:p>
    <w:p w14:paraId="4C064D88" w14:textId="77777777" w:rsidR="000964CC" w:rsidRPr="000964CC" w:rsidRDefault="000964CC" w:rsidP="000964CC">
      <w:pPr>
        <w:jc w:val="center"/>
        <w:rPr>
          <w:b/>
          <w:bCs/>
          <w:sz w:val="44"/>
          <w:szCs w:val="44"/>
        </w:rPr>
      </w:pPr>
    </w:p>
    <w:sectPr w:rsidR="000964CC" w:rsidRPr="000964CC" w:rsidSect="000964CC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64CC"/>
    <w:rsid w:val="000964CC"/>
    <w:rsid w:val="00253895"/>
    <w:rsid w:val="00336AF8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0718B"/>
  <w15:chartTrackingRefBased/>
  <w15:docId w15:val="{E903EA3C-617F-4032-B700-9DBDBD3BE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964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964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64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64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64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964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64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964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64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64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964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64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64C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964C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964C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64C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964C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64C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64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964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64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64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964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964C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964C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964C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964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964C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964C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96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096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964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1699</Words>
  <Characters>13169</Characters>
  <Application>Microsoft Office Word</Application>
  <DocSecurity>0</DocSecurity>
  <Lines>424</Lines>
  <Paragraphs>464</Paragraphs>
  <ScaleCrop>false</ScaleCrop>
  <Company/>
  <LinksUpToDate>false</LinksUpToDate>
  <CharactersWithSpaces>14404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2026-01-10T10:42:00Z</dcterms:created>
  <dcterms:modified xsi:type="dcterms:W3CDTF">2026-01-10T10:46:00Z</dcterms:modified>
</cp:coreProperties>
</file>