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92552816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sdtEndPr>
      <w:sdtContent>
        <w:p w14:paraId="21E24681" w14:textId="612BED9A" w:rsidR="000E736C" w:rsidRDefault="000E736C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FB5A0E7" wp14:editId="0C6A32CF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665595" cy="9718040"/>
                    <wp:effectExtent l="0" t="0" r="0" b="0"/>
                    <wp:wrapNone/>
                    <wp:docPr id="1939864061" name="Grupp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665595" cy="9718040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516531" w14:textId="2B5C887B" w:rsidR="000E736C" w:rsidRDefault="000E736C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48"/>
                                      <w:szCs w:val="48"/>
                                      <w14:ligatures w14:val="none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2A4D9949" w14:textId="38666C36" w:rsidR="000E736C" w:rsidRPr="000E736C" w:rsidRDefault="000E736C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156082" w:themeColor="accent1"/>
                                          <w:sz w:val="48"/>
                                          <w:szCs w:val="48"/>
                                        </w:rPr>
                                      </w:pPr>
                                      <w:r w:rsidRPr="000E736C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sz w:val="48"/>
                                          <w:szCs w:val="48"/>
                                          <w14:ligatures w14:val="none"/>
                                        </w:rPr>
                                        <w:t xml:space="preserve">Approccio sistematico alla valutazione dei rischi da </w:t>
                                      </w:r>
                                      <w:proofErr w:type="spellStart"/>
                                      <w:r w:rsidRPr="000E736C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sz w:val="48"/>
                                          <w:szCs w:val="48"/>
                                          <w14:ligatures w14:val="none"/>
                                        </w:rPr>
                                        <w:t>diisocianati</w:t>
                                      </w:r>
                                      <w:proofErr w:type="spellEnd"/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2FB5A0E7" id="Gruppo 2" o:spid="_x0000_s1026" style="position:absolute;margin-left:0;margin-top:0;width:524.85pt;height:765.2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p w14:paraId="79516531" w14:textId="2B5C887B" w:rsidR="000E736C" w:rsidRDefault="000E736C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2025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2A4D9949" w14:textId="38666C36" w:rsidR="000E736C" w:rsidRPr="000E736C" w:rsidRDefault="000E736C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156082" w:themeColor="accent1"/>
                                    <w:sz w:val="48"/>
                                    <w:szCs w:val="48"/>
                                  </w:rPr>
                                </w:pPr>
                                <w:r w:rsidRPr="000E736C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48"/>
                                    <w:szCs w:val="48"/>
                                    <w14:ligatures w14:val="none"/>
                                  </w:rPr>
                                  <w:t xml:space="preserve">Approccio sistematico alla valutazione dei rischi da </w:t>
                                </w:r>
                                <w:proofErr w:type="spellStart"/>
                                <w:r w:rsidRPr="000E736C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48"/>
                                    <w:szCs w:val="48"/>
                                    <w14:ligatures w14:val="none"/>
                                  </w:rPr>
                                  <w:t>diisocianati</w:t>
                                </w:r>
                                <w:proofErr w:type="spellEnd"/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02DCE9D7" w14:textId="054578B5" w:rsidR="000E736C" w:rsidRDefault="000E736C">
          <w:p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w:br w:type="page"/>
          </w:r>
        </w:p>
      </w:sdtContent>
    </w:sdt>
    <w:p w14:paraId="1C9ACAA6" w14:textId="0319341C" w:rsidR="00437E64" w:rsidRDefault="00437E64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</w:rPr>
        <w:lastRenderedPageBreak/>
        <w:drawing>
          <wp:inline distT="0" distB="0" distL="0" distR="0" wp14:anchorId="78F0CE4A" wp14:editId="4C57F2D8">
            <wp:extent cx="6120130" cy="6120130"/>
            <wp:effectExtent l="0" t="0" r="0" b="0"/>
            <wp:docPr id="766625789" name="Immagine 3" descr="Immagine che contiene bottiglia, testo, cartone animato, vestit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25789" name="Immagine 3" descr="Immagine che contiene bottiglia, testo, cartone animato, vestiti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36C"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14:paraId="1898A4A1" w14:textId="1497BF83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valutazione dei rischi rappresenta il passo fondamentale per garantire ambienti di lavoro sicuri e conformi alla normativa. Solo attraverso un’analisi rigorosa e documentata delle sostanze presenti, delle modalità operative e delle condizioni di esposizione è possibile individuare le misure di controllo più efficaci e proporzionate. In questa sezione illustreremo i principi normativi di riferimento, i criteri e le fasi operative per accertare e gestire i pericoli legati ai </w:t>
      </w:r>
      <w:proofErr w:type="spell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coinvolgendo attivamente lavoratori, fornitori e responsabili della sicurezza. L’obiettivo è fornire un metodo chiaro e ripetibile che favorisca decisioni informate e prevenzione mirata, riducendo al minimo l’insorgenza di patologie professionali.</w:t>
      </w:r>
    </w:p>
    <w:p w14:paraId="47D7E3BC" w14:textId="77777777" w:rsidR="000E736C" w:rsidRDefault="000E736C" w:rsidP="000E736C">
      <w:pPr>
        <w:pStyle w:val="NormaleWeb"/>
      </w:pPr>
      <w:r>
        <w:t>Secondo l’articolo 6, paragrafo 3, e l’articolo 9, paragrafo 1, della direttiva 89/391/CEE, il datore di lavoro ha l’obbligo di individuare e valutare i rischi per la sicurezza e la salute dei lavoratori derivanti dall’uso di agenti chimici. In seguito a questa analisi, devono essere messe in atto tutte le misure preventive e i metodi di lavoro necessari per garantire il massimo livello di protezione possibile.</w:t>
      </w:r>
    </w:p>
    <w:p w14:paraId="404878DE" w14:textId="77777777" w:rsidR="000E736C" w:rsidRDefault="000E736C" w:rsidP="000E736C">
      <w:pPr>
        <w:pStyle w:val="NormaleWeb"/>
      </w:pPr>
      <w:r>
        <w:lastRenderedPageBreak/>
        <w:t xml:space="preserve">La direttiva 98/24/CE, all’articolo 4, paragrafo 1, definisce nel dettaglio le modalità per accertare e valutare tali rischi. </w:t>
      </w:r>
      <w:proofErr w:type="gramStart"/>
      <w:r>
        <w:t>In primo luogo</w:t>
      </w:r>
      <w:proofErr w:type="gramEnd"/>
      <w:r>
        <w:t xml:space="preserve"> il datore di lavoro deve verificare la presenza di sostanze chimiche pericolose sul luogo di lavoro; successivamente, deve valutare:</w:t>
      </w:r>
    </w:p>
    <w:p w14:paraId="3751A0C2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le proprietà intrinseche di pericolo degli agenti chimici;</w:t>
      </w:r>
    </w:p>
    <w:p w14:paraId="51911096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le informazioni di sicurezza fornite dal produttore o dal fornitore;</w:t>
      </w:r>
    </w:p>
    <w:p w14:paraId="453629BA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la concentrazione e la durata dell’esposizione;</w:t>
      </w:r>
    </w:p>
    <w:p w14:paraId="49EB993D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le modalità, i luoghi e la quantità di sostanze utilizzate;</w:t>
      </w:r>
    </w:p>
    <w:p w14:paraId="6E629CBD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i limiti di esposizione professionale o i valori limite biologici vigenti nello Stato membro;</w:t>
      </w:r>
    </w:p>
    <w:p w14:paraId="5823E7DC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l’efficacia delle misure di prevenzione già adottate o da implementare;</w:t>
      </w:r>
    </w:p>
    <w:p w14:paraId="7482BDA8" w14:textId="77777777" w:rsidR="000E736C" w:rsidRDefault="000E736C" w:rsidP="000E736C">
      <w:pPr>
        <w:pStyle w:val="NormaleWeb"/>
        <w:numPr>
          <w:ilvl w:val="0"/>
          <w:numId w:val="1"/>
        </w:numPr>
      </w:pPr>
      <w:r>
        <w:t>gli esiti di eventuali programmi di sorveglianza sanitaria in corso.</w:t>
      </w:r>
    </w:p>
    <w:p w14:paraId="56B2D4F5" w14:textId="77777777" w:rsidR="000E736C" w:rsidRDefault="000E736C" w:rsidP="000E736C">
      <w:pPr>
        <w:pStyle w:val="NormaleWeb"/>
      </w:pPr>
      <w:r>
        <w:t>Tale valutazione deve essere formalizzata secondo quanto previsto dalla normativa nazionale e mantenuta sempre aggiornata, in particolare ogni volta che cambiano le sostanze utilizzate o emergono nuovi dati sanitari. Quando vengono introdotti nuovi agenti chimici pericolosi, ogni attività può iniziare solo dopo che sia stata completata e applicata la valutazione del rischio.</w:t>
      </w:r>
    </w:p>
    <w:p w14:paraId="25A0AFD2" w14:textId="77777777" w:rsidR="000E736C" w:rsidRDefault="000E736C" w:rsidP="000E736C">
      <w:pPr>
        <w:pStyle w:val="NormaleWeb"/>
      </w:pPr>
      <w:r>
        <w:t>Un’analisi dei rischi efficace presuppone la consultazione attiva dei lavoratori e una loro piena informazione sui pericoli individuati, nonché sui corsi di formazione disponibili.</w:t>
      </w:r>
    </w:p>
    <w:p w14:paraId="2085C596" w14:textId="77777777" w:rsidR="000E736C" w:rsidRDefault="000E736C" w:rsidP="000E736C">
      <w:pPr>
        <w:pStyle w:val="NormaleWeb"/>
      </w:pPr>
      <w:r>
        <w:t xml:space="preserve">Nel caso specifico dei </w:t>
      </w:r>
      <w:proofErr w:type="spellStart"/>
      <w:r>
        <w:t>diisocianati</w:t>
      </w:r>
      <w:proofErr w:type="spellEnd"/>
      <w:r>
        <w:t>, la valutazione deve estendersi anche a chi, pur non maneggiando direttamente questi prodotti, possa esserne esposto:</w:t>
      </w:r>
    </w:p>
    <w:p w14:paraId="46F9CB1B" w14:textId="77777777" w:rsidR="000E736C" w:rsidRDefault="000E736C" w:rsidP="000E736C">
      <w:pPr>
        <w:pStyle w:val="NormaleWeb"/>
        <w:numPr>
          <w:ilvl w:val="0"/>
          <w:numId w:val="2"/>
        </w:numPr>
      </w:pPr>
      <w:r>
        <w:t>colleghi di reparto;</w:t>
      </w:r>
    </w:p>
    <w:p w14:paraId="77F1ACD0" w14:textId="77777777" w:rsidR="000E736C" w:rsidRDefault="000E736C" w:rsidP="000E736C">
      <w:pPr>
        <w:pStyle w:val="NormaleWeb"/>
        <w:numPr>
          <w:ilvl w:val="0"/>
          <w:numId w:val="2"/>
        </w:numPr>
      </w:pPr>
      <w:r>
        <w:t>visitatori o pubblico esterno;</w:t>
      </w:r>
    </w:p>
    <w:p w14:paraId="0D7F97E2" w14:textId="77777777" w:rsidR="000E736C" w:rsidRDefault="000E736C" w:rsidP="000E736C">
      <w:pPr>
        <w:pStyle w:val="NormaleWeb"/>
        <w:numPr>
          <w:ilvl w:val="0"/>
          <w:numId w:val="2"/>
        </w:numPr>
      </w:pPr>
      <w:r>
        <w:t>residenti nelle vicinanze (ad esempio in caso di interventi di coibentazione);</w:t>
      </w:r>
    </w:p>
    <w:p w14:paraId="72F2775D" w14:textId="77777777" w:rsidR="000E736C" w:rsidRDefault="000E736C" w:rsidP="000E736C">
      <w:pPr>
        <w:pStyle w:val="NormaleWeb"/>
        <w:numPr>
          <w:ilvl w:val="0"/>
          <w:numId w:val="2"/>
        </w:numPr>
      </w:pPr>
      <w:r>
        <w:t>ispettori.</w:t>
      </w:r>
    </w:p>
    <w:p w14:paraId="5ADA28D0" w14:textId="77777777" w:rsidR="000E736C" w:rsidRDefault="000E736C" w:rsidP="000E736C">
      <w:pPr>
        <w:pStyle w:val="NormaleWeb"/>
      </w:pPr>
      <w:r>
        <w:t>Devono essere individuate misure idonee a proteggere queste categorie, che possono comprendere:</w:t>
      </w:r>
    </w:p>
    <w:p w14:paraId="7E5CA17B" w14:textId="77777777" w:rsidR="000E736C" w:rsidRDefault="000E736C" w:rsidP="000E736C">
      <w:pPr>
        <w:pStyle w:val="NormaleWeb"/>
        <w:numPr>
          <w:ilvl w:val="0"/>
          <w:numId w:val="3"/>
        </w:numPr>
      </w:pPr>
      <w:r>
        <w:t>l’obbligo di indossare DPI adeguati anche per il personale non direttamente coinvolto;</w:t>
      </w:r>
    </w:p>
    <w:p w14:paraId="42ABD76E" w14:textId="77777777" w:rsidR="000E736C" w:rsidRDefault="000E736C" w:rsidP="000E736C">
      <w:pPr>
        <w:pStyle w:val="NormaleWeb"/>
        <w:numPr>
          <w:ilvl w:val="0"/>
          <w:numId w:val="3"/>
        </w:numPr>
      </w:pPr>
      <w:r>
        <w:t>l’istituzione di aree delimitate per impedire l’accesso non autorizzato;</w:t>
      </w:r>
    </w:p>
    <w:p w14:paraId="55747897" w14:textId="77777777" w:rsidR="000E736C" w:rsidRDefault="000E736C" w:rsidP="000E736C">
      <w:pPr>
        <w:pStyle w:val="NormaleWeb"/>
        <w:numPr>
          <w:ilvl w:val="0"/>
          <w:numId w:val="3"/>
        </w:numPr>
      </w:pPr>
      <w:r>
        <w:t>lo sgombero degli ambienti durante e per almeno 24 ore dopo applicazioni a spruzzo;</w:t>
      </w:r>
    </w:p>
    <w:p w14:paraId="70432CB1" w14:textId="77777777" w:rsidR="000E736C" w:rsidRDefault="000E736C" w:rsidP="000E736C">
      <w:pPr>
        <w:pStyle w:val="NormaleWeb"/>
        <w:numPr>
          <w:ilvl w:val="0"/>
          <w:numId w:val="3"/>
        </w:numPr>
      </w:pPr>
      <w:r>
        <w:t>la definizione di tempi e modalità di ripristino per cabine o locali in cui si esegue la spruzzatura.</w:t>
      </w:r>
    </w:p>
    <w:p w14:paraId="5C167B75" w14:textId="77777777" w:rsidR="000E736C" w:rsidRDefault="000E736C" w:rsidP="000E736C">
      <w:pPr>
        <w:pStyle w:val="NormaleWeb"/>
      </w:pPr>
      <w:r>
        <w:t>Gli ispettori, a loro volta, devono:</w:t>
      </w:r>
    </w:p>
    <w:p w14:paraId="658B2CC4" w14:textId="77777777" w:rsidR="000E736C" w:rsidRDefault="000E736C" w:rsidP="000E736C">
      <w:pPr>
        <w:pStyle w:val="NormaleWeb"/>
        <w:numPr>
          <w:ilvl w:val="0"/>
          <w:numId w:val="4"/>
        </w:numPr>
      </w:pPr>
      <w:r>
        <w:t xml:space="preserve">conoscere i settori e le situazioni in cui si utilizzano i </w:t>
      </w:r>
      <w:proofErr w:type="spellStart"/>
      <w:r>
        <w:t>diisocianati</w:t>
      </w:r>
      <w:proofErr w:type="spellEnd"/>
      <w:r>
        <w:t>;</w:t>
      </w:r>
    </w:p>
    <w:p w14:paraId="27413F4F" w14:textId="77777777" w:rsidR="000E736C" w:rsidRDefault="000E736C" w:rsidP="000E736C">
      <w:pPr>
        <w:pStyle w:val="NormaleWeb"/>
        <w:numPr>
          <w:ilvl w:val="0"/>
          <w:numId w:val="4"/>
        </w:numPr>
      </w:pPr>
      <w:r>
        <w:t>rispettare la normativa locale e le linee guida vigenti;</w:t>
      </w:r>
    </w:p>
    <w:p w14:paraId="0D2686F4" w14:textId="77777777" w:rsidR="000E736C" w:rsidRDefault="000E736C" w:rsidP="000E736C">
      <w:pPr>
        <w:pStyle w:val="NormaleWeb"/>
        <w:numPr>
          <w:ilvl w:val="0"/>
          <w:numId w:val="4"/>
        </w:numPr>
      </w:pPr>
      <w:r>
        <w:t>adottare DPI adeguati durante le ispezioni.</w:t>
      </w:r>
    </w:p>
    <w:p w14:paraId="1A13FC89" w14:textId="77777777" w:rsidR="000E736C" w:rsidRDefault="000E736C" w:rsidP="000E736C">
      <w:pPr>
        <w:pStyle w:val="NormaleWeb"/>
      </w:pPr>
      <w:r>
        <w:t>Per verificare che il datore di lavoro abbia seguito la gerarchia dei controlli (eliminazione, sostituzione, misure tecniche, DPI, formazione), l’ispettore dovrà basarsi sulle osservazioni in loco e sulle indicazioni contenute in questo documento di orientamento.</w:t>
      </w:r>
    </w:p>
    <w:p w14:paraId="5F1A3C7D" w14:textId="60E9AF86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tabella con le misure di controllo e le relative osservazioni, suddivisa per tipologia: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29"/>
        <w:gridCol w:w="5199"/>
      </w:tblGrid>
      <w:tr w:rsidR="000E736C" w:rsidRPr="000E736C" w14:paraId="02D7C527" w14:textId="77777777" w:rsidTr="000E736C">
        <w:tc>
          <w:tcPr>
            <w:tcW w:w="0" w:type="auto"/>
            <w:hideMark/>
          </w:tcPr>
          <w:p w14:paraId="0C8F751C" w14:textId="77777777" w:rsidR="000E736C" w:rsidRPr="000E736C" w:rsidRDefault="000E736C" w:rsidP="000E7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Metodo</w:t>
            </w:r>
          </w:p>
        </w:tc>
        <w:tc>
          <w:tcPr>
            <w:tcW w:w="0" w:type="auto"/>
            <w:hideMark/>
          </w:tcPr>
          <w:p w14:paraId="768C63A6" w14:textId="77777777" w:rsidR="000E736C" w:rsidRPr="000E736C" w:rsidRDefault="000E736C" w:rsidP="000E7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Osservazioni</w:t>
            </w:r>
          </w:p>
        </w:tc>
      </w:tr>
      <w:tr w:rsidR="000E736C" w:rsidRPr="000E736C" w14:paraId="716C2A3E" w14:textId="77777777" w:rsidTr="000E736C">
        <w:tc>
          <w:tcPr>
            <w:tcW w:w="0" w:type="auto"/>
            <w:hideMark/>
          </w:tcPr>
          <w:p w14:paraId="2AB327BC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Sostituzione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Passare a prodotti senza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diisocianati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con concentrazioni inferiori.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Utilizzare formulazioni meno pericolose (es. pannelli prefabbricati anziché polveri/liquidi).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Passare da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diisocianati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monomerici a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oligo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-/polimeri meno volatili.</w:t>
            </w:r>
          </w:p>
        </w:tc>
        <w:tc>
          <w:tcPr>
            <w:tcW w:w="0" w:type="auto"/>
            <w:hideMark/>
          </w:tcPr>
          <w:p w14:paraId="3608247A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• Nessuna o minore esposizione tramite contatto con la pelle e inalazione.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Minore esposizione per inalazione.</w:t>
            </w:r>
          </w:p>
        </w:tc>
      </w:tr>
      <w:tr w:rsidR="000E736C" w:rsidRPr="000E736C" w14:paraId="1B026209" w14:textId="77777777" w:rsidTr="000E736C">
        <w:tc>
          <w:tcPr>
            <w:tcW w:w="0" w:type="auto"/>
            <w:hideMark/>
          </w:tcPr>
          <w:p w14:paraId="5D9D8921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Controlli tecnici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Sistemi chiusi per riempimento e trasferimento.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Automazione di dosaggio o spruzzo (anziché operazioni manuali).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Riduzione della temperatura del processo.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Aspirazione localizzata dei vapori/aerosol.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Ventilazione generale/meccanica controllata: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– zone sottopressione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– aria di ricambio garantita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– divieto di ricircolo aria interna</w:t>
            </w:r>
          </w:p>
        </w:tc>
        <w:tc>
          <w:tcPr>
            <w:tcW w:w="0" w:type="auto"/>
            <w:hideMark/>
          </w:tcPr>
          <w:p w14:paraId="7FA29385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• Minor esposizione: processo distante o isolato dal lavoratore.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Emissioni meno volatili a temperature ridotte.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Aspirazione localizzata efficace ma richiede formazione, manutenzione e verifica periodica.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Se manca ventilazione fissa, integrare con cappe mobili o ventilatori portatili per rimuovere i vapori subito dopo l’operazione.</w:t>
            </w:r>
          </w:p>
        </w:tc>
      </w:tr>
      <w:tr w:rsidR="000E736C" w:rsidRPr="000E736C" w14:paraId="6BFCF4D7" w14:textId="77777777" w:rsidTr="000E736C">
        <w:tc>
          <w:tcPr>
            <w:tcW w:w="0" w:type="auto"/>
            <w:hideMark/>
          </w:tcPr>
          <w:p w14:paraId="4577AB8A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collettive e organizzative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Metodi di lavoro adeguati e minimizzazione del numero di operatori e del tempo di esposizione.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Strumentazione adeguata al processo.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Pulizia continua: rimozione immediata di versamenti e schizzi.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Gestione rifiuti: contenitori sigillabili, etichettati e smaltimento conforme alla SDS.</w:t>
            </w:r>
          </w:p>
        </w:tc>
        <w:tc>
          <w:tcPr>
            <w:tcW w:w="0" w:type="auto"/>
            <w:hideMark/>
          </w:tcPr>
          <w:p w14:paraId="1AFCB6C9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• Procedure sicure riducono l’esposizione complessiva.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Versamenti e schizzi aumentano il rischio di contatto cutaneo e inalazione.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Contaminazione di attrezzi e DPI può protrarre l’esposizione fino al completamento della polimerizzazione.</w:t>
            </w:r>
          </w:p>
        </w:tc>
      </w:tr>
      <w:tr w:rsidR="000E736C" w:rsidRPr="000E736C" w14:paraId="79F851D6" w14:textId="77777777" w:rsidTr="000E736C">
        <w:tc>
          <w:tcPr>
            <w:tcW w:w="0" w:type="auto"/>
            <w:hideMark/>
          </w:tcPr>
          <w:p w14:paraId="6249C24E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 amministrativo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Restrizione oraria all’uso di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diisocianati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Limitazione dell’accesso alle aree di lavoro in cui si usano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diisocianati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Segnaletica di avvertimento nelle zone a rischio.</w:t>
            </w:r>
          </w:p>
        </w:tc>
        <w:tc>
          <w:tcPr>
            <w:tcW w:w="0" w:type="auto"/>
            <w:hideMark/>
          </w:tcPr>
          <w:p w14:paraId="42B0213F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• I lavoratori non coinvolti rimangono isolati dall’esposizione ai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diisocianati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0E736C" w:rsidRPr="000E736C" w14:paraId="439F1D7A" w14:textId="77777777" w:rsidTr="000E736C">
        <w:tc>
          <w:tcPr>
            <w:tcW w:w="0" w:type="auto"/>
            <w:hideMark/>
          </w:tcPr>
          <w:p w14:paraId="46688AC8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736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Dispositivi di Protezione Individuale (DPI)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Se altri controlli non bastano, adottare DPI idonei a proteggere da contatto cutaneo e vapori.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Garantire corretto uso e vestizione dei DPI.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Formazione specifica su: pericoli dei </w:t>
            </w:r>
            <w:proofErr w:type="spellStart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diisocianati</w:t>
            </w:r>
            <w:proofErr w:type="spellEnd"/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metodi di lavoro sicuri, salute e sicurezza.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Piani di emergenza: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– accesso a misure di pronto soccorso (lavaggio occhi/pelle)</w:t>
            </w:r>
            <w:r w:rsidRPr="000E73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– procedure per sversamenti gravi</w:t>
            </w:r>
          </w:p>
        </w:tc>
        <w:tc>
          <w:tcPr>
            <w:tcW w:w="0" w:type="auto"/>
            <w:hideMark/>
          </w:tcPr>
          <w:p w14:paraId="33A1073A" w14:textId="77777777" w:rsidR="000E736C" w:rsidRPr="000E736C" w:rsidRDefault="000E736C" w:rsidP="000E73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2371319" w14:textId="77777777" w:rsidR="00336AF8" w:rsidRDefault="00336AF8"/>
    <w:p w14:paraId="01F2D442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Dispositivi di Protezione Individuale</w:t>
      </w:r>
    </w:p>
    <w:p w14:paraId="5BC59BC0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DPI rappresentano l’ultimo livello di difesa nella gerarchia dei controlli e il loro impiego – in particolare degli apparecchi di protezione delle vie respiratorie (APVR) – può risultare gravoso per gli operatori, perciò va ridotto al minimo. Tuttavia, quando le misure tecniche e organizzative non bastano a contenere l’esposizione ai </w:t>
      </w:r>
      <w:proofErr w:type="spell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limiti sicuri, il datore di lavoro deve fornire DPI adeguati e selezionati in base alla valutazione dei rischi.</w:t>
      </w:r>
    </w:p>
    <w:p w14:paraId="46F5024C" w14:textId="77777777" w:rsidR="000E736C" w:rsidRPr="000E736C" w:rsidRDefault="000E736C" w:rsidP="000E73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Protezione respiratoria</w:t>
      </w:r>
    </w:p>
    <w:p w14:paraId="4065FD85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i </w:t>
      </w:r>
      <w:proofErr w:type="spell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come vapori, fumi o aerosol, è obbligatorio indossare un APVR.</w:t>
      </w:r>
    </w:p>
    <w:p w14:paraId="23BB9DFA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APVR ad adduzione d’aria offrono il livello di protezione più elevato, ma possono essere impiegati anche respiratori filtranti con cartucce combinate (antigas + antiparticolato), scelti in funzione della concentrazione di agente chimico e della durata dell’esposizione.</w:t>
      </w:r>
    </w:p>
    <w:p w14:paraId="6FA83E4F" w14:textId="77777777" w:rsidR="000E736C" w:rsidRPr="000E736C" w:rsidRDefault="000E736C" w:rsidP="000E73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Protezione cutanea</w:t>
      </w:r>
    </w:p>
    <w:p w14:paraId="246B4946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caso di rischio di contatto, sono necessari guanti in materiale resistente ai </w:t>
      </w:r>
      <w:proofErr w:type="spell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(ad es. nitrile), sufficientemente spessi da ritardarne la penetrazione.</w:t>
      </w:r>
    </w:p>
    <w:p w14:paraId="42E6BD8C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Guanti monouso sottili non sono idonei nemmeno per brevi interventi.</w:t>
      </w:r>
    </w:p>
    <w:p w14:paraId="290289C3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previsto dalla modalità di lavoro (verniciatura a spruzzo, manipolazione in ambienti caldi), vanno affiancati grembiuli, tute monouso o altri indumenti protettivi.</w:t>
      </w:r>
    </w:p>
    <w:p w14:paraId="616BD8E0" w14:textId="77777777" w:rsidR="000E736C" w:rsidRPr="000E736C" w:rsidRDefault="000E736C" w:rsidP="000E73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Scelta e mantenimento dei DPI</w:t>
      </w:r>
    </w:p>
    <w:p w14:paraId="016BFDD1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scheda di dati di sicurezza del prodotto guida la selezione dei materiali e dei modelli; in caso di dubbio, consultare il fornitore dei guanti o dei respiratori.</w:t>
      </w:r>
    </w:p>
    <w:p w14:paraId="26F4F8BE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guanti non devono essere indossati oltre il tempo raccomandato.</w:t>
      </w:r>
    </w:p>
    <w:p w14:paraId="1EF7653F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Respiratori e indumenti protettivi sono personali e non condivisibili tra più lavoratori.</w:t>
      </w:r>
    </w:p>
    <w:p w14:paraId="13F3E729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Devono esistere procedure scritte per indossare e rimuovere correttamente i DPI, nonché per pulirli, disinfettarli, ispezionarli, ripararli e smaltirli.</w:t>
      </w:r>
    </w:p>
    <w:p w14:paraId="0EF7D3BF" w14:textId="77777777" w:rsidR="000E736C" w:rsidRPr="000E736C" w:rsidRDefault="000E736C" w:rsidP="000E73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utilizzo frequente, i respiratori richiedono pulizia post‐uso, sostituzione regolare delle cartucce/filtri e controlli periodici per verificare l’integrità dei componenti.</w:t>
      </w:r>
    </w:p>
    <w:p w14:paraId="4477F4F6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Apparecchi di Protezione delle Vie Respiratorie (APVR)</w:t>
      </w:r>
    </w:p>
    <w:p w14:paraId="48FD6B9E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APVR sono spesso essenziali, unitamente ai controlli tecnici, per ridurre l’esposizione ai </w:t>
      </w:r>
      <w:proofErr w:type="spell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La scelta dell’apparecchio più idoneo richiede una valutazione specifica dell’attività e delle condizioni ambientali, basata sui seguenti criteri:</w:t>
      </w:r>
    </w:p>
    <w:p w14:paraId="3D16559B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Tipo di </w:t>
      </w:r>
      <w:proofErr w:type="spellStart"/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diisocianato</w:t>
      </w:r>
      <w:proofErr w:type="spellEnd"/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e modalità d’uso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Verificare se si tratta di TDI, MDI, HDI o altri, e in quale forma (liquida, solida, in aerosol).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Considerare le operazioni svolte (spruzzo, miscelazione, applicazione manuale), poiché influenzano il livello di protezione richiesto.</w:t>
      </w:r>
    </w:p>
    <w:p w14:paraId="1CDEE08B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e durata dell’esposizione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Misurare concentrazione e tempo di esposizione: da questi dati deriva il fattore di protezione necessario (APF/EPF).</w:t>
      </w:r>
    </w:p>
    <w:p w14:paraId="2D59080B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Presenza di altri contaminanti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Se nell’aria ci sono particolati, solventi o altre sostanze, scegliere cartucce combinate o respiratori dotati di protezione specifica.</w:t>
      </w:r>
    </w:p>
    <w:p w14:paraId="4B9655C7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Tenuta e aderenza facciale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Eseguire test sul corretto fitting per garantire l’assenza di perdite d’aria.</w:t>
      </w:r>
    </w:p>
    <w:p w14:paraId="61658D94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Fattore di protezione (APF/EPF)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Selezionare un apparecchio con APF adeguato al livello di rischio: più alto è il fattore, maggiore è la riduzione dell’esposizione.</w:t>
      </w:r>
    </w:p>
    <w:p w14:paraId="0FF56240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 di respiratore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Respiratori ad adduzione d’aria (PAPR o autorespiratori) forniscono la massima protezione e comfort in caso di elevate concentrazioni o lavori prolungati.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Respiratori filtranti (mezza maschera o pieno facciale) con cartucce antiparticolato + antigas sono idonei per esposizioni moderate.</w:t>
      </w:r>
    </w:p>
    <w:p w14:paraId="53C6F1EA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Compatibilità con altri DPI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Verificare che l’APVR non interferisca con occhiali protettivi, elmetti, tute o altri dispositivi.</w:t>
      </w:r>
    </w:p>
    <w:p w14:paraId="123B6E7C" w14:textId="77777777" w:rsidR="000E736C" w:rsidRPr="000E736C" w:rsidRDefault="000E736C" w:rsidP="000E73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e manutenzione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Addestrare i lavoratori su corretta vestizione, uso, pulizia e conservazione dell’APVR.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– Definire procedure scritte per controllo periodico, sostituzione di filtri/cartucce e verifica di integrità.</w:t>
      </w:r>
    </w:p>
    <w:p w14:paraId="0D0A41AC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Riferimenti normativi e tecnici</w:t>
      </w:r>
    </w:p>
    <w:p w14:paraId="5D8626EB" w14:textId="77777777" w:rsidR="000E736C" w:rsidRPr="000E736C" w:rsidRDefault="000E736C" w:rsidP="000E73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sezione </w:t>
      </w:r>
      <w:proofErr w:type="gram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8</w:t>
      </w:r>
      <w:proofErr w:type="gram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Scheda Dati di Sicurezza (SDS) fornisce i valori limite di esposizione e le misure di gestione del rischio.</w:t>
      </w:r>
    </w:p>
    <w:p w14:paraId="7E8FF17D" w14:textId="77777777" w:rsidR="000E736C" w:rsidRPr="000E736C" w:rsidRDefault="000E736C" w:rsidP="000E73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norma EN 529 descrive i criteri per selezione, uso e manutenzione degli APVR, inclusi i fattori di protezione.</w:t>
      </w:r>
    </w:p>
    <w:p w14:paraId="73304CBB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Requisiti specifici per schiume isolanti e spruzzi interni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Gli operatori e gli assistenti devono indossare respiratori a pieno facciale o a cappuccio ad adduzione d’aria marcati CE, conformi alle norme europee, quando applicano schiume isolanti in ambienti confinati.</w:t>
      </w:r>
    </w:p>
    <w:p w14:paraId="1EFC99BF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Controlli in sede d’ispezione</w:t>
      </w: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L’ispettore deve verificare che:</w:t>
      </w:r>
    </w:p>
    <w:p w14:paraId="5BA2F8F2" w14:textId="77777777" w:rsidR="000E736C" w:rsidRPr="000E736C" w:rsidRDefault="000E736C" w:rsidP="000E73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APVR siano marcati CE e idonei al rischio rilevato.</w:t>
      </w:r>
    </w:p>
    <w:p w14:paraId="16353D79" w14:textId="77777777" w:rsidR="000E736C" w:rsidRPr="000E736C" w:rsidRDefault="000E736C" w:rsidP="000E73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fattore di protezione sia adeguato alle mansioni ad alto rischio (es. spruzzo richiede APF elevato).</w:t>
      </w:r>
    </w:p>
    <w:p w14:paraId="13841178" w14:textId="77777777" w:rsidR="000E736C" w:rsidRPr="000E736C" w:rsidRDefault="000E736C" w:rsidP="000E73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filtri utilizzati corrispondano alla natura del contaminante (antiparticolato vs. antigas/</w:t>
      </w:r>
      <w:proofErr w:type="spellStart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antivapori</w:t>
      </w:r>
      <w:proofErr w:type="spellEnd"/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4C9ED926" w14:textId="77777777" w:rsidR="000E736C" w:rsidRPr="000E736C" w:rsidRDefault="000E736C" w:rsidP="000E73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Siano stati effettuati i test di tenuta facciale e che il dispositivo calzi correttamente anche in presenza di barba o altri DPI.</w:t>
      </w:r>
    </w:p>
    <w:p w14:paraId="04FD5542" w14:textId="77777777" w:rsidR="000E736C" w:rsidRPr="000E736C" w:rsidRDefault="000E736C" w:rsidP="000E73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respiratori siano conservati, puliti e manutenuti secondo le procedure.</w:t>
      </w:r>
    </w:p>
    <w:p w14:paraId="05BC7F46" w14:textId="77777777" w:rsidR="000E736C" w:rsidRPr="000E736C" w:rsidRDefault="000E736C" w:rsidP="000E73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personale abbia ricevuto formazione e addestramento specifici sul loro corretto utilizzo.</w:t>
      </w:r>
    </w:p>
    <w:p w14:paraId="2B6B600C" w14:textId="77777777" w:rsidR="000E736C" w:rsidRPr="000E736C" w:rsidRDefault="000E736C" w:rsidP="000E7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7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non conformità, l’uso degli APVR può risultare inefficace e aumentare il rischio di sensibilizzazione e danni alla salute.</w:t>
      </w:r>
    </w:p>
    <w:sdt>
      <w:sdtPr>
        <w:id w:val="-125103635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</w:rPr>
      </w:sdtEndPr>
      <w:sdtContent>
        <w:p w14:paraId="16D80D2D" w14:textId="4E749AB5" w:rsidR="000E736C" w:rsidRDefault="000E736C" w:rsidP="000E736C">
          <w:pPr>
            <w:pStyle w:val="Titolosommario"/>
          </w:pPr>
        </w:p>
        <w:p w14:paraId="797E34EF" w14:textId="14C06DC0" w:rsidR="000E736C" w:rsidRDefault="000E736C"/>
      </w:sdtContent>
    </w:sdt>
    <w:p w14:paraId="52FDD504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Limiti di esposizione secondo la Direttiva (UE) 2024/869</w:t>
      </w:r>
    </w:p>
    <w:p w14:paraId="6EE1CF7F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Direttiva (UE) 2024/869 stabilisce per tutti i </w:t>
      </w:r>
      <w:proofErr w:type="spellStart"/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 valore limite di esposizione professionale pari a 6 µg NCO/m³ e un limite di breve durata di 12 µg NCO/m³, dove “NCO” indica il gruppo isocianato presente nelle molecole di </w:t>
      </w:r>
      <w:proofErr w:type="spellStart"/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diisocianato</w:t>
      </w:r>
      <w:proofErr w:type="spellEnd"/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A questo gruppo funzionale sono inoltre associate indicazioni specifiche riguardo all’assorbimento cutaneo e al potenziale sensibilizzante, sia per la pelle sia per le vie respiratorie.</w:t>
      </w:r>
    </w:p>
    <w:p w14:paraId="67E21B31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Rispettare immediatamente questi limiti può risultare complesso per molte imprese, soprattutto nei settori a valle — edilizia, autoriparazioni, manifattura di tessuti, mobili, veicoli, elettrodomestici, macchinari e computer — a causa delle difficoltà tecniche nelle misurazioni e dei tempi necessari per implementare efficaci misure di gestione del rischio.</w:t>
      </w:r>
    </w:p>
    <w:p w14:paraId="683A21E8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facilitare l’adeguamento, è previsto un periodo transitorio fino al 31 dicembre 2028, durante il quale si applicano limiti più elevati: 10 µg NCO/m³ come esposizione professionale e 20 µg NCO/m³ come breve durata. Questo margine aggiuntivo permette ai datori di lavoro di dotarsi degli strumenti di monitoraggio adeguati e di pianificare l’adozione delle misure di protezione necessarie.</w:t>
      </w:r>
    </w:p>
    <w:p w14:paraId="1933ABD5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Direttiva è stata pubblicata nella Gazzetta Ufficiale dell’Unione Europea il 19 marzo 2024 ed è entrata in vigore il ventesimo giorno successivo alla pubblicazione. Gli Stati membri dispongono di due anni per recepire nella propria normativa nazionale sia i nuovi valori limite sia le ulteriori misure di tutela previste dal testo.</w:t>
      </w:r>
    </w:p>
    <w:p w14:paraId="22F1E42D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dell’esposizione</w:t>
      </w:r>
    </w:p>
    <w:p w14:paraId="34CB65AB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base all’articolo 6 della Direttiva 98/24/CE (CAD), il datore di lavoro deve dimostrare di aver garantito un’adeguata prevenzione e protezione contro l’esposizione ai </w:t>
      </w:r>
      <w:proofErr w:type="spellStart"/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Ciò implica la quantificazione del livello di esposizione, in particolare rispetto ai valori limite di esposizione professionale (OELV) espressi come concentrazione di gruppi NCO.</w:t>
      </w:r>
    </w:p>
    <w:p w14:paraId="7A082A5C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il datore di lavoro può:</w:t>
      </w:r>
    </w:p>
    <w:p w14:paraId="264DF213" w14:textId="77777777" w:rsidR="002C4CD1" w:rsidRPr="002C4CD1" w:rsidRDefault="002C4CD1" w:rsidP="002C4C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effettuare misurazioni dirette dell’aria in area di lavoro o personale,</w:t>
      </w:r>
    </w:p>
    <w:p w14:paraId="174C970D" w14:textId="77777777" w:rsidR="002C4CD1" w:rsidRPr="002C4CD1" w:rsidRDefault="002C4CD1" w:rsidP="002C4C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adottare metodi indiretti quali modelli previsionali di esposizione,</w:t>
      </w:r>
    </w:p>
    <w:p w14:paraId="704B8085" w14:textId="77777777" w:rsidR="002C4CD1" w:rsidRPr="002C4CD1" w:rsidRDefault="002C4CD1" w:rsidP="002C4C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 ricorrere ad altre tecniche di valutazione validate.</w:t>
      </w:r>
    </w:p>
    <w:p w14:paraId="1B8E745E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assenza di dati chiari forniti dal datore di lavoro, l’ispettore può disporre campionamenti personali dell’aria e analisi di laboratorio per verificare il rispetto degli OELV applicabili.</w:t>
      </w:r>
    </w:p>
    <w:p w14:paraId="4312EBFA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Linee guida e standard</w:t>
      </w:r>
    </w:p>
    <w:p w14:paraId="47F3A7A4" w14:textId="77777777" w:rsidR="002C4CD1" w:rsidRPr="002C4CD1" w:rsidRDefault="002C4CD1" w:rsidP="002C4C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norma EN 689 definisce la strategia per misurare e confrontare l’esposizione inalatoria ai limiti di legge, comprendendo criteri di selezione dei lavoratori da monitorare, durata dei campionamenti e interpretazione dei risultati.</w:t>
      </w:r>
    </w:p>
    <w:p w14:paraId="697325E7" w14:textId="77777777" w:rsidR="002C4CD1" w:rsidRPr="002C4CD1" w:rsidRDefault="002C4CD1" w:rsidP="002C4C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isocianati, per la loro elevata reattività e i bassi valori limite, rappresentano una delle categorie chimiche più complesse da campionare e analizzare. Possono essere presenti in forma di vapori e/o aerosol, con ampia variabilità delle dimensioni delle particelle.</w:t>
      </w:r>
    </w:p>
    <w:p w14:paraId="0181FB45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Ruolo degli esperti</w:t>
      </w: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Quando si rende necessaria la valutazione strumentale, è consigliabile coinvolgere un igienista industriale o un professionista qualificato in igiene del lavoro. Questo esperto garantisce:</w:t>
      </w:r>
    </w:p>
    <w:p w14:paraId="72912C34" w14:textId="77777777" w:rsidR="002C4CD1" w:rsidRPr="002C4CD1" w:rsidRDefault="002C4CD1" w:rsidP="002C4C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corretta scelta delle metodologie di campionamento e analisi;</w:t>
      </w:r>
    </w:p>
    <w:p w14:paraId="4659B230" w14:textId="77777777" w:rsidR="002C4CD1" w:rsidRPr="002C4CD1" w:rsidRDefault="002C4CD1" w:rsidP="002C4C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interpretazione accurata dei risultati alla luce della normativa nazionale;</w:t>
      </w:r>
    </w:p>
    <w:p w14:paraId="7A15C502" w14:textId="77777777" w:rsidR="002C4CD1" w:rsidRPr="002C4CD1" w:rsidRDefault="002C4CD1" w:rsidP="002C4C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nell’individuare eventuali ulteriori misure di controllo per ridurre l’esposizione al di sotto degli OELV.</w:t>
      </w:r>
    </w:p>
    <w:p w14:paraId="3033DB4F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questo modo, la valutazione dell’esposizione diventa strumento fondamentale per provare la conformità alle prescrizioni di legge e per orientare l’adozione di interventi mirati a tutela della salute dei lavoratori.</w:t>
      </w:r>
    </w:p>
    <w:p w14:paraId="011C3B32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sanitaria</w:t>
      </w:r>
    </w:p>
    <w:p w14:paraId="33179EFE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sorveglianza sanitaria rappresenta un sistema continuo di raccolta, analisi e interpretazione di dati clinici e biologici a scopo preventivo, volto a identificare tempestivamente gli effetti avversi dell’esposizione professionale. Un monitoraggio efficace migliora gli esiti sia in termini di salute sia di mantenimento dell’impiego.</w:t>
      </w:r>
    </w:p>
    <w:p w14:paraId="2C3B4819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Principali strumenti di screening</w:t>
      </w:r>
    </w:p>
    <w:p w14:paraId="7949B38B" w14:textId="77777777" w:rsidR="002C4CD1" w:rsidRPr="002C4CD1" w:rsidRDefault="002C4CD1" w:rsidP="002C4C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Questionari periodici</w:t>
      </w: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indagini standardizzate sui sintomi respiratori e cutanei.</w:t>
      </w:r>
    </w:p>
    <w:p w14:paraId="1B79D67E" w14:textId="77777777" w:rsidR="002C4CD1" w:rsidRPr="002C4CD1" w:rsidRDefault="002C4CD1" w:rsidP="002C4C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Visite mediche mirate</w:t>
      </w: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valutazione clinica in base al tipo e all’intensità dell’esposizione;</w:t>
      </w:r>
    </w:p>
    <w:p w14:paraId="2C266CBA" w14:textId="77777777" w:rsidR="002C4CD1" w:rsidRPr="002C4CD1" w:rsidRDefault="002C4CD1" w:rsidP="002C4CD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misure funzionali (es. spirometria);</w:t>
      </w:r>
    </w:p>
    <w:p w14:paraId="5925E3F3" w14:textId="77777777" w:rsidR="002C4CD1" w:rsidRPr="002C4CD1" w:rsidRDefault="002C4CD1" w:rsidP="002C4CD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test immunologici specifici;</w:t>
      </w:r>
    </w:p>
    <w:p w14:paraId="1DA6CCF4" w14:textId="77777777" w:rsidR="002C4CD1" w:rsidRPr="002C4CD1" w:rsidRDefault="002C4CD1" w:rsidP="002C4C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Biomonitoraggio</w:t>
      </w: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analisi dei metaboliti di isocianati nelle urine per quantificare l’assorbimento attraverso tutte le vie (inalazione, contatto cutaneo, ingestione).</w:t>
      </w:r>
    </w:p>
    <w:p w14:paraId="231160CB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accordo con l’art. 6 § 3 e l’art. 10 della Direttiva 98/24/CE, si raccomanda che i programmi di sorveglianza sanitaria siano disciplinati da disposizioni nazionali, conformi alle migliori pratiche di medicina del lavoro, e progettati per rilevare precocemente segni di sensibilizzazione respiratoria.</w:t>
      </w:r>
    </w:p>
    <w:p w14:paraId="6CBB0F67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Monitoraggio biologico</w:t>
      </w: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Il biomonitoraggio degli isocianati, attraverso l’individuazione di specifici metaboliti urinari, fornisce un metodo pratico per:</w:t>
      </w:r>
    </w:p>
    <w:p w14:paraId="5F4AE371" w14:textId="77777777" w:rsidR="002C4CD1" w:rsidRPr="002C4CD1" w:rsidRDefault="002C4CD1" w:rsidP="002C4C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stimare l’esposizione complessiva del lavoratore;</w:t>
      </w:r>
    </w:p>
    <w:p w14:paraId="57045E29" w14:textId="77777777" w:rsidR="002C4CD1" w:rsidRPr="002C4CD1" w:rsidRDefault="002C4CD1" w:rsidP="002C4C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l’efficacia delle misure di controllo in atto;</w:t>
      </w:r>
    </w:p>
    <w:p w14:paraId="5D9D2B40" w14:textId="77777777" w:rsidR="002C4CD1" w:rsidRPr="002C4CD1" w:rsidRDefault="002C4CD1" w:rsidP="002C4CD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evidenziare differenze individuali nell’aderenza alle buone prassi operative.</w:t>
      </w:r>
    </w:p>
    <w:p w14:paraId="719126B7" w14:textId="77777777" w:rsidR="002C4CD1" w:rsidRPr="002C4CD1" w:rsidRDefault="002C4CD1" w:rsidP="002C4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C4CD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risultati del biomonitoraggio devono essere integrati nella valutazione del rischio, con revisione delle misure di prevenzione ogniqualvolta emergano livelli di esposizione o di sensibilizzazione superiori ai criteri di sicurezza stabiliti.</w:t>
      </w:r>
    </w:p>
    <w:p w14:paraId="54C7D0CA" w14:textId="77777777" w:rsidR="005900EE" w:rsidRPr="005900EE" w:rsidRDefault="005900EE" w:rsidP="00590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Requisiti formativi per l’uso dei </w:t>
      </w:r>
      <w:proofErr w:type="spellStart"/>
      <w:r w:rsidRPr="005900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5900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(Regolamento REACH)</w:t>
      </w:r>
    </w:p>
    <w:p w14:paraId="10A1C3FB" w14:textId="77777777" w:rsidR="005900EE" w:rsidRPr="005900EE" w:rsidRDefault="005900EE" w:rsidP="00590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di base</w:t>
      </w: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online):</w:t>
      </w:r>
    </w:p>
    <w:p w14:paraId="28E83705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Principi chimici dei </w:t>
      </w:r>
      <w:proofErr w:type="spellStart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loro proprietà (volatilità, temperatura, peso molecolare)</w:t>
      </w:r>
    </w:p>
    <w:p w14:paraId="6F93958D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Meccanismi di tossicità, compresa la tossicità acuta</w:t>
      </w:r>
    </w:p>
    <w:p w14:paraId="0BDD4128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 e modalità di esposizione (inalazione e contatto cutaneo)</w:t>
      </w:r>
    </w:p>
    <w:p w14:paraId="4219439E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Valori limite di esposizione professionale (OEL) e loro importanza</w:t>
      </w:r>
    </w:p>
    <w:p w14:paraId="5E43E50E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Processo di sensibilizzazione e segnali di allarme (ad es. percezione dell’odore)</w:t>
      </w:r>
    </w:p>
    <w:p w14:paraId="6DB73010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Norme di igiene personale in ambiente di lavoro</w:t>
      </w:r>
    </w:p>
    <w:p w14:paraId="27BBB7D2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DPI necessari per pelle e vie respiratorie: caratteristiche, limiti e corretto utilizzo</w:t>
      </w:r>
    </w:p>
    <w:p w14:paraId="6787BD3E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Sistemi di ventilazione, procedure di pulizia, gestione delle fuoriuscite e manutenzione</w:t>
      </w:r>
    </w:p>
    <w:p w14:paraId="5D73D813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Smaltimento sicuro degli imballaggi vuoti e protezione delle persone presenti nelle vicinanze</w:t>
      </w:r>
    </w:p>
    <w:p w14:paraId="403547F7" w14:textId="77777777" w:rsidR="005900EE" w:rsidRPr="005900EE" w:rsidRDefault="005900EE" w:rsidP="005900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del completamento della formazione mediante attestato o altra documentazione</w:t>
      </w:r>
    </w:p>
    <w:p w14:paraId="57169A42" w14:textId="77777777" w:rsidR="005900EE" w:rsidRPr="005900EE" w:rsidRDefault="005900EE" w:rsidP="00590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intermedia</w:t>
      </w: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online):</w:t>
      </w:r>
    </w:p>
    <w:p w14:paraId="1928B36A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Identificazione delle fasi critiche di manipolazione dei </w:t>
      </w:r>
      <w:proofErr w:type="spellStart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diisocianati</w:t>
      </w:r>
      <w:proofErr w:type="spellEnd"/>
    </w:p>
    <w:p w14:paraId="4977B064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Codifiche nazionali o specifiche di settore, se applicabili</w:t>
      </w:r>
    </w:p>
    <w:p w14:paraId="0FB6BFBA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Principi di sicurezza basata sul comportamento (</w:t>
      </w:r>
      <w:proofErr w:type="spellStart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behaviour-based</w:t>
      </w:r>
      <w:proofErr w:type="spellEnd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safety</w:t>
      </w:r>
      <w:proofErr w:type="spellEnd"/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70E5FC6A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Procedure di manutenzione e gestione delle modifiche di processo</w:t>
      </w:r>
    </w:p>
    <w:p w14:paraId="4211510A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Revisione delle istruzioni di sicurezza esistenti</w:t>
      </w:r>
    </w:p>
    <w:p w14:paraId="2D5EC114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Analisi dettagliata dei rischi legati al processo di applicazione</w:t>
      </w:r>
    </w:p>
    <w:p w14:paraId="2721EAF1" w14:textId="77777777" w:rsidR="005900EE" w:rsidRPr="005900EE" w:rsidRDefault="005900EE" w:rsidP="005900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Conferma del superamento del corso tramite certificazione</w:t>
      </w:r>
    </w:p>
    <w:p w14:paraId="5B3EEEC0" w14:textId="77777777" w:rsidR="005900EE" w:rsidRPr="005900EE" w:rsidRDefault="005900EE" w:rsidP="00590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avanzata</w:t>
      </w: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online):</w:t>
      </w:r>
    </w:p>
    <w:p w14:paraId="185A155E" w14:textId="77777777" w:rsidR="005900EE" w:rsidRPr="005900EE" w:rsidRDefault="005900EE" w:rsidP="005900E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Certificazioni aggiuntive richieste per usi specialistici</w:t>
      </w:r>
    </w:p>
    <w:p w14:paraId="52F273EA" w14:textId="77777777" w:rsidR="005900EE" w:rsidRPr="005900EE" w:rsidRDefault="005900EE" w:rsidP="005900E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Tecniche di applicazione a spruzzo al di fuori di cabine protette</w:t>
      </w:r>
    </w:p>
    <w:p w14:paraId="3A55BDC3" w14:textId="77777777" w:rsidR="005900EE" w:rsidRPr="005900EE" w:rsidRDefault="005900EE" w:rsidP="005900E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Manipolazione di formulazioni riscaldate (&gt; 45 °C) in esterno</w:t>
      </w:r>
    </w:p>
    <w:p w14:paraId="065DAEF2" w14:textId="77777777" w:rsidR="005900EE" w:rsidRPr="005900EE" w:rsidRDefault="005900EE" w:rsidP="005900E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900E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Rilascio di un documento ufficiale attestante l’avvenuta formazione con esito positivo</w:t>
      </w:r>
    </w:p>
    <w:p w14:paraId="07FBDE49" w14:textId="77777777" w:rsidR="000E736C" w:rsidRDefault="000E736C"/>
    <w:sectPr w:rsidR="000E736C" w:rsidSect="000E736C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735"/>
    <w:multiLevelType w:val="multilevel"/>
    <w:tmpl w:val="A114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103BE"/>
    <w:multiLevelType w:val="multilevel"/>
    <w:tmpl w:val="67B8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80CA3"/>
    <w:multiLevelType w:val="multilevel"/>
    <w:tmpl w:val="EA14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00354"/>
    <w:multiLevelType w:val="multilevel"/>
    <w:tmpl w:val="DBFE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52A5B"/>
    <w:multiLevelType w:val="multilevel"/>
    <w:tmpl w:val="4144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F56BA9"/>
    <w:multiLevelType w:val="multilevel"/>
    <w:tmpl w:val="0EB2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B53C0"/>
    <w:multiLevelType w:val="multilevel"/>
    <w:tmpl w:val="6342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B1690A"/>
    <w:multiLevelType w:val="multilevel"/>
    <w:tmpl w:val="EF86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D25007"/>
    <w:multiLevelType w:val="multilevel"/>
    <w:tmpl w:val="B132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82147D"/>
    <w:multiLevelType w:val="multilevel"/>
    <w:tmpl w:val="09B2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C4718F"/>
    <w:multiLevelType w:val="multilevel"/>
    <w:tmpl w:val="96C81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D2A1C"/>
    <w:multiLevelType w:val="multilevel"/>
    <w:tmpl w:val="53F0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2846F1"/>
    <w:multiLevelType w:val="multilevel"/>
    <w:tmpl w:val="A8D2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B818B6"/>
    <w:multiLevelType w:val="multilevel"/>
    <w:tmpl w:val="7066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5956F3"/>
    <w:multiLevelType w:val="multilevel"/>
    <w:tmpl w:val="EBD0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674223"/>
    <w:multiLevelType w:val="multilevel"/>
    <w:tmpl w:val="F1BC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507679">
    <w:abstractNumId w:val="9"/>
  </w:num>
  <w:num w:numId="2" w16cid:durableId="682705134">
    <w:abstractNumId w:val="0"/>
  </w:num>
  <w:num w:numId="3" w16cid:durableId="660229792">
    <w:abstractNumId w:val="3"/>
  </w:num>
  <w:num w:numId="4" w16cid:durableId="2126994661">
    <w:abstractNumId w:val="2"/>
  </w:num>
  <w:num w:numId="5" w16cid:durableId="1503817823">
    <w:abstractNumId w:val="6"/>
  </w:num>
  <w:num w:numId="6" w16cid:durableId="1923373286">
    <w:abstractNumId w:val="5"/>
  </w:num>
  <w:num w:numId="7" w16cid:durableId="194005976">
    <w:abstractNumId w:val="4"/>
  </w:num>
  <w:num w:numId="8" w16cid:durableId="1162700295">
    <w:abstractNumId w:val="14"/>
  </w:num>
  <w:num w:numId="9" w16cid:durableId="62682793">
    <w:abstractNumId w:val="10"/>
  </w:num>
  <w:num w:numId="10" w16cid:durableId="723145244">
    <w:abstractNumId w:val="15"/>
  </w:num>
  <w:num w:numId="11" w16cid:durableId="1785924644">
    <w:abstractNumId w:val="7"/>
  </w:num>
  <w:num w:numId="12" w16cid:durableId="1922060944">
    <w:abstractNumId w:val="8"/>
  </w:num>
  <w:num w:numId="13" w16cid:durableId="2019308749">
    <w:abstractNumId w:val="1"/>
  </w:num>
  <w:num w:numId="14" w16cid:durableId="1500539016">
    <w:abstractNumId w:val="12"/>
  </w:num>
  <w:num w:numId="15" w16cid:durableId="554853591">
    <w:abstractNumId w:val="13"/>
  </w:num>
  <w:num w:numId="16" w16cid:durableId="11991198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6C"/>
    <w:rsid w:val="000E736C"/>
    <w:rsid w:val="002C4CD1"/>
    <w:rsid w:val="00336AF8"/>
    <w:rsid w:val="00437E64"/>
    <w:rsid w:val="005900EE"/>
    <w:rsid w:val="00C15881"/>
    <w:rsid w:val="00D078F3"/>
    <w:rsid w:val="00EB4E0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D8CF1"/>
  <w15:chartTrackingRefBased/>
  <w15:docId w15:val="{828D6716-6FC9-47F3-B6F2-F0CFA69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7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7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7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7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7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7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7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7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7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7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7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7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73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73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73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73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73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73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7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7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7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7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7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73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73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73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7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73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736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E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736C"/>
    <w:rPr>
      <w:b/>
      <w:bCs/>
    </w:rPr>
  </w:style>
  <w:style w:type="table" w:styleId="Grigliatabella">
    <w:name w:val="Table Grid"/>
    <w:basedOn w:val="Tabellanormale"/>
    <w:uiPriority w:val="39"/>
    <w:rsid w:val="000E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0E736C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E736C"/>
    <w:rPr>
      <w:rFonts w:eastAsiaTheme="minorEastAsia"/>
      <w:kern w:val="0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0E736C"/>
    <w:pPr>
      <w:spacing w:before="240" w:after="0"/>
      <w:outlineLvl w:val="9"/>
    </w:pPr>
    <w:rPr>
      <w:kern w:val="0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1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C52CB-A721-4C1B-958C-19F860EE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Approccio sistematico alla valutazione dei rischi da diisocianati</vt:lpstr>
    </vt:vector>
  </TitlesOfParts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Approccio sistematico alla valutazione dei rischi da diisocianati</dc:title>
  <dc:subject/>
  <dc:creator>PAOLO BENNI</dc:creator>
  <cp:keywords/>
  <dc:description/>
  <cp:lastModifiedBy>PAOLO BENNI</cp:lastModifiedBy>
  <cp:revision>3</cp:revision>
  <dcterms:created xsi:type="dcterms:W3CDTF">2025-07-05T14:38:00Z</dcterms:created>
  <dcterms:modified xsi:type="dcterms:W3CDTF">2025-07-05T14:50:00Z</dcterms:modified>
</cp:coreProperties>
</file>