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acetone</w:t>
      </w:r>
    </w:p>
    <w:p>
      <w:r>
        <w:t xml:space="preserve">Archivio Sostanze Chimiche – esportazione scheda</w:t>
      </w:r>
    </w:p>
    <w:p>
      <w:r>
        <w:t xml:space="preserve"/>
      </w:r>
    </w:p>
    <w:tbl>
      <w:tblPr>
        <w:tblW w:type="pct" w:w="100%"/>
        <w:tblBorders>
          <w:top w:val="single" w:color="000000" w:sz="1"/>
          <w:left w:val="single" w:color="000000" w:sz="1"/>
          <w:bottom w:val="single" w:color="000000" w:sz="1"/>
          <w:right w:val="single" w:color="000000" w:sz="1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left"/>
            </w:pPr>
            <w:r>
              <w:t xml:space="preserve">Nome sostanza</w:t>
            </w:r>
          </w:p>
        </w:tc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t xml:space="preserve">acetone</w:t>
            </w:r>
          </w:p>
        </w:tc>
      </w:tr>
      <w:tr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left"/>
            </w:pPr>
            <w:r>
              <w:t xml:space="preserve">Numero sostanza</w:t>
            </w:r>
          </w:p>
        </w:tc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t xml:space="preserve">606-001-00-8</w:t>
            </w:r>
          </w:p>
        </w:tc>
      </w:tr>
      <w:tr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left"/>
            </w:pPr>
            <w:r>
              <w:t xml:space="preserve">Numero CAS</w:t>
            </w:r>
          </w:p>
        </w:tc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t xml:space="preserve">67-64-1</w:t>
            </w:r>
          </w:p>
        </w:tc>
      </w:tr>
      <w:tr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left"/>
            </w:pPr>
            <w:r>
              <w:t xml:space="preserve">Frasi H</w:t>
            </w:r>
          </w:p>
        </w:tc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</w:rPr>
              <w:t xml:space="preserve">H225</w:t>
            </w:r>
            <w:r>
              <w:t xml:space="preserve"> — Liquido e vapori facilmente infiammabili</w:t>
            </w:r>
          </w:p>
          <w:p>
            <w:r>
              <w:rPr>
                <w:b/>
                <w:bCs/>
              </w:rPr>
              <w:t xml:space="preserve">H319</w:t>
            </w:r>
            <w:r>
              <w:t xml:space="preserve"> — Provoca grave irritazione oculare</w:t>
            </w:r>
          </w:p>
          <w:p>
            <w:r>
              <w:rPr>
                <w:b/>
                <w:bCs/>
              </w:rPr>
              <w:t xml:space="preserve">H335</w:t>
            </w:r>
            <w:r>
              <w:t xml:space="preserve"> — Può irritare le vie respiratorie</w:t>
            </w:r>
          </w:p>
          <w:p>
            <w:r>
              <w:rPr>
                <w:b/>
                <w:bCs/>
              </w:rPr>
              <w:t xml:space="preserve">H336</w:t>
            </w:r>
            <w:r>
              <w:t xml:space="preserve"> — Può provocare sonnolenza o vertigini</w:t>
            </w:r>
          </w:p>
        </w:tc>
      </w:tr>
      <w:tr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left"/>
            </w:pPr>
            <w:r>
              <w:t xml:space="preserve">Frasi EUH</w:t>
            </w:r>
          </w:p>
        </w:tc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</w:rPr>
              <w:t xml:space="preserve">EUH066</w:t>
            </w:r>
            <w:r>
              <w:t xml:space="preserve"> — L'esposizione ripetuta può provocare secchezza o screpolature della pelle</w:t>
            </w:r>
          </w:p>
        </w:tc>
      </w:tr>
      <w:tr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left"/>
            </w:pPr>
            <w:r>
              <w:t xml:space="preserve">Pittogrammi GHS</w:t>
            </w:r>
          </w:p>
        </w:tc>
        <w:tc>
          <w:tcPr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drawing>
                <wp:inline distT="0" distB="0" distL="0" distR="0">
                  <wp:extent cx="914400" cy="914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  GHS02 — Infiammabile (fiamma)</w:t>
            </w:r>
          </w:p>
          <w:p>
            <w:r>
              <w:t xml:space="preserve">• Gas altamente infiammabile / Gas infiammabile</w:t>
            </w:r>
          </w:p>
          <w:p>
            <w:r>
              <w:t xml:space="preserve">• Aerosol altamente infiammabile / Aerosol infiammabile</w:t>
            </w:r>
          </w:p>
          <w:p>
            <w:r>
              <w:t xml:space="preserve">• Liquido e vapori facilmente / estremamente infiammabili</w:t>
            </w:r>
          </w:p>
          <w:p>
            <w:r>
              <w:t xml:space="preserve">• Liquido e vapori infiammabili</w:t>
            </w:r>
          </w:p>
          <w:p>
            <w:r>
              <w:t xml:space="preserve">• Solido infiammabile</w:t>
            </w:r>
          </w:p>
          <w:p>
            <w:r>
              <w:t xml:space="preserve"/>
            </w:r>
          </w:p>
          <w:p>
            <w:r>
              <w:drawing>
                <wp:inline distT="0" distB="0" distL="0" distR="0">
                  <wp:extent cx="914400" cy="914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  GHS07 — Nocivo / irritante (punto esclamativo)</w:t>
            </w:r>
          </w:p>
          <w:p>
            <w:r>
              <w:t xml:space="preserve">• Nocivo se inalato / ingerito / a contatto con la pelle</w:t>
            </w:r>
          </w:p>
          <w:p>
            <w:r>
              <w:t xml:space="preserve">• Provoca irritazione cutanea</w:t>
            </w:r>
          </w:p>
          <w:p>
            <w:r>
              <w:t xml:space="preserve">• Provoca grave irritazione oculare</w:t>
            </w:r>
          </w:p>
          <w:p>
            <w:r>
              <w:t xml:space="preserve">• Può irritare le vie respiratorie</w:t>
            </w:r>
          </w:p>
          <w:p>
            <w:r>
              <w:t xml:space="preserve">• Può provocare una reazione allergica cutanea</w:t>
            </w:r>
          </w:p>
          <w:p>
            <w:r>
              <w:t xml:space="preserve">• Può provocare sonnolenza o vertigini</w:t>
            </w:r>
          </w:p>
          <w:p>
            <w: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image" Target="media/es2b22wkdt0y3pp5mvx3y.png"/><Relationship Id="rId7" Type="http://schemas.openxmlformats.org/officeDocument/2006/relationships/image" Target="media/u9fx7c7bau9evp4xz6-wl.png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2025-10-25T12:44:42.278Z</dcterms:created>
  <dcterms:modified xsi:type="dcterms:W3CDTF">2025-10-25T12:44:42.278Z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