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86819921"/>
        <w:docPartObj>
          <w:docPartGallery w:val="Cover Pages"/>
          <w:docPartUnique/>
        </w:docPartObj>
      </w:sdtPr>
      <w:sdtEndPr>
        <w:rPr>
          <w:rFonts w:ascii="segoeui" w:hAnsi="segoeui"/>
          <w:color w:val="3366FF"/>
        </w:rPr>
      </w:sdtEndPr>
      <w:sdtContent>
        <w:p w14:paraId="19694719" w14:textId="41BBF6EC" w:rsidR="005D18B8" w:rsidRDefault="0078417B">
          <w:r>
            <w:rPr>
              <w:noProof/>
            </w:rPr>
            <mc:AlternateContent>
              <mc:Choice Requires="wpg">
                <w:drawing>
                  <wp:anchor distT="0" distB="0" distL="114300" distR="114300" simplePos="0" relativeHeight="251659264" behindDoc="1" locked="0" layoutInCell="1" allowOverlap="1" wp14:anchorId="4E0F1533" wp14:editId="7F6E3388">
                    <wp:simplePos x="0" y="0"/>
                    <wp:positionH relativeFrom="page">
                      <wp:align>center</wp:align>
                    </wp:positionH>
                    <wp:positionV relativeFrom="page">
                      <wp:align>center</wp:align>
                    </wp:positionV>
                    <wp:extent cx="6664960" cy="9718675"/>
                    <wp:effectExtent l="0" t="0" r="0" b="0"/>
                    <wp:wrapNone/>
                    <wp:docPr id="1046105396"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4960" cy="9718675"/>
                              <a:chOff x="0" y="0"/>
                              <a:chExt cx="6864824" cy="9123528"/>
                            </a:xfrm>
                          </wpg:grpSpPr>
                          <wps:wsp>
                            <wps:cNvPr id="194" name="Rettangolo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ttangolo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EC350A" w14:textId="75107B87" w:rsidR="005D18B8" w:rsidRDefault="005D18B8">
                                  <w:pPr>
                                    <w:pStyle w:val="Nessunaspaziatura"/>
                                    <w:spacing w:before="120"/>
                                    <w:jc w:val="center"/>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Casella di testo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eastAsia="Times New Roman" w:hAnsi="Arial" w:cs="Arial"/>
                                      <w:b/>
                                      <w:bCs/>
                                      <w:caps/>
                                      <w:color w:val="1C1C1C"/>
                                      <w:kern w:val="36"/>
                                      <w:sz w:val="58"/>
                                      <w:szCs w:val="58"/>
                                      <w14:ligatures w14:val="none"/>
                                    </w:rPr>
                                    <w:alias w:val="Titolo"/>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216D24CC" w14:textId="109715F7" w:rsidR="005D18B8" w:rsidRDefault="005D18B8">
                                      <w:pPr>
                                        <w:pStyle w:val="Nessunaspaziatura"/>
                                        <w:jc w:val="center"/>
                                        <w:rPr>
                                          <w:rFonts w:asciiTheme="majorHAnsi" w:eastAsiaTheme="majorEastAsia" w:hAnsiTheme="majorHAnsi" w:cstheme="majorBidi"/>
                                          <w:caps/>
                                          <w:color w:val="156082" w:themeColor="accent1"/>
                                          <w:sz w:val="72"/>
                                          <w:szCs w:val="72"/>
                                        </w:rPr>
                                      </w:pPr>
                                      <w:r w:rsidRPr="005D18B8">
                                        <w:rPr>
                                          <w:rFonts w:ascii="Arial" w:eastAsia="Times New Roman" w:hAnsi="Arial" w:cs="Arial"/>
                                          <w:b/>
                                          <w:bCs/>
                                          <w:caps/>
                                          <w:color w:val="1C1C1C"/>
                                          <w:kern w:val="36"/>
                                          <w:sz w:val="58"/>
                                          <w:szCs w:val="58"/>
                                          <w14:ligatures w14:val="none"/>
                                        </w:rPr>
                                        <w:t>ALLEGATO XVIII VIABILITÀ NEI CANTIERI, PONTEGGI E TRASPORTO DEI MATERIALI</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4E0F1533" id="Gruppo 5" o:spid="_x0000_s1026" style="position:absolute;margin-left:0;margin-top:0;width:524.8pt;height:765.25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cDozwMAAOcOAAAOAAAAZHJzL2Uyb0RvYy54bWzsV1tv2zYUfh+w/0DofdHFlmwLUYosXYIB&#10;QRs0HfpMU9QFpUiOpCNnv36HpCSribOm2ZBt2ADDIHkuPPx4zsej0zf7jqE7qnQreBHEJ1GAKCei&#10;bHldBL98vPxhHSBtMC8xE5wWwT3VwZuz77877WVOE9EIVlKFwAnXeS+LoDFG5mGoSUM7rE+EpByE&#10;lVAdNjBVdVgq3IP3joVJFGVhL1QplSBUa1h964XBmfNfVZSY91WlqUGsCCA24/6V+9/a//DsFOe1&#10;wrJpyRAGfkEUHW45bDq5eosNRjvVPnLVtUQJLSpzQkQXiqpqCXVngNPE0YPTXCmxk+4sdd7XcoIJ&#10;oH2A04vdknd3V0reyhvlo4fhtSCfNeAS9rLO53I7rw/K+0p11ggOgfYO0fsJUbo3iMBilmXLTQbA&#10;E5BtVvE6W6Uec9LAxTyyI81Po+U6W66T5WAZJ4s0WVvLEOd+YxfeFE4vIX/0ASL95yC6bbCkDnlt&#10;IbhRqC0hvTcQD8cd5PEHaiCra8EEsqsQmI0AVC2Uw0wPqD4LqHW6jqIBqHixijOYzI+Lc6m0uaKi&#10;Q3ZQBApy26UcvrvWxquOKvZatGBtedky5ia2nugFU+gOQyVgQig38bDBF5qMW30urKV3alcAbJ37&#10;87iRuWfU6jH+gVaADVx14oJxhft4IxdDg0vq90/hqOPxJgt3t86h1a5g/8l3/Ee+fZSDvjWlru4n&#10;4+jrxpOF21lwMxl3LRfqmAM2wVd5/REkD41FaSvKe8gcJTzraEkuW7i6a6zNDVZAM3DdQJ3mPfxV&#10;TPRFIIZRgBqhfju2bvUhtUEaoB5oqwj0rzusaIDYzxySfhMvl5bn3GSZrhKYqLlkO5fwXXchIB9i&#10;IGlJ3NDqGzYOKyW6T8Cw53ZXEGFOYO8iIEaNkwvj6RQ4mtDzc6cG3Caxuea3kljnFlWbmh/3n7CS&#10;Q/4a4Ih3Yiw0nD9IY69rLbk43xlRtS7HD7gOeEPR+9p7hepPj1a/IzQb1zdU/zLaLBee0CBfJ8qb&#10;cUAaJRt44P7ngJFf/p0cYPbbPRDUIW1flw4cA0x8sFrE6YEQRtmMEUDzxZSw/Q8SQjYSwgXWlDGM&#10;yhYZqo1tCjJbujNaQGb/o4B30r26dv2J9iBzXQ+0S7Mu4AmOSFYJ/L5si/7SPmFbP9EjIHisskXq&#10;n9aHzcL4Ag9tyeGsbnSkdXjGC328L3iG4Wv3BeXnEbIn+wLLCb6fHFPk7+gUxvL3rcLQN/hWYRR5&#10;ZhhELyaGf1iv4L4b4GvKtZvDl5/9XJvPXW9x+D49+x0AAP//AwBQSwMEFAAGAAgAAAAhAO5fE5Lc&#10;AAAABwEAAA8AAABkcnMvZG93bnJldi54bWxMjzFvwjAQhfdK/Q/WIXUrNrREbRoHVUgwtQOEpZux&#10;r0lEfI5iA+Hf9+jSLqd3eqf3viuWo+/EGYfYBtIwmyoQSDa4lmoN+2r9+AIiJkPOdIFQwxUjLMv7&#10;u8LkLlxoi+ddqgWHUMyNhialPpcy2ga9idPQI7H3HQZvEq9DLd1gLhzuOzlXKpPetMQNjelx1aA9&#10;7k5ew3H7GXG1ruq99bbNxo/N/KvyWj9Mxvc3EAnH9HcMN3xGh5KZDuFELopOAz+SfufNU8+vGYgD&#10;q8WTWoAsC/mfv/wBAAD//wMAUEsBAi0AFAAGAAgAAAAhALaDOJL+AAAA4QEAABMAAAAAAAAAAAAA&#10;AAAAAAAAAFtDb250ZW50X1R5cGVzXS54bWxQSwECLQAUAAYACAAAACEAOP0h/9YAAACUAQAACwAA&#10;AAAAAAAAAAAAAAAvAQAAX3JlbHMvLnJlbHNQSwECLQAUAAYACAAAACEAH0HA6M8DAADnDgAADgAA&#10;AAAAAAAAAAAAAAAuAgAAZHJzL2Uyb0RvYy54bWxQSwECLQAUAAYACAAAACEA7l8TktwAAAAHAQAA&#10;DwAAAAAAAAAAAAAAAAApBgAAZHJzL2Rvd25yZXYueG1sUEsFBgAAAAAEAAQA8wAAADIHAAAAAA==&#10;">
                    <v:rect id="Rettangolo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156082 [3204]" stroked="f" strokeweight="1pt"/>
                    <v:rect id="Rettangolo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156082 [3204]" stroked="f" strokeweight="1pt">
                      <v:textbox inset="36pt,57.6pt,36pt,36pt">
                        <w:txbxContent>
                          <w:p w14:paraId="0CEC350A" w14:textId="75107B87" w:rsidR="005D18B8" w:rsidRDefault="005D18B8">
                            <w:pPr>
                              <w:pStyle w:val="Nessunaspaziatura"/>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Casella di testo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Arial" w:eastAsia="Times New Roman" w:hAnsi="Arial" w:cs="Arial"/>
                                <w:b/>
                                <w:bCs/>
                                <w:caps/>
                                <w:color w:val="1C1C1C"/>
                                <w:kern w:val="36"/>
                                <w:sz w:val="58"/>
                                <w:szCs w:val="58"/>
                                <w14:ligatures w14:val="none"/>
                              </w:rPr>
                              <w:alias w:val="Titolo"/>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216D24CC" w14:textId="109715F7" w:rsidR="005D18B8" w:rsidRDefault="005D18B8">
                                <w:pPr>
                                  <w:pStyle w:val="Nessunaspaziatura"/>
                                  <w:jc w:val="center"/>
                                  <w:rPr>
                                    <w:rFonts w:asciiTheme="majorHAnsi" w:eastAsiaTheme="majorEastAsia" w:hAnsiTheme="majorHAnsi" w:cstheme="majorBidi"/>
                                    <w:caps/>
                                    <w:color w:val="156082" w:themeColor="accent1"/>
                                    <w:sz w:val="72"/>
                                    <w:szCs w:val="72"/>
                                  </w:rPr>
                                </w:pPr>
                                <w:r w:rsidRPr="005D18B8">
                                  <w:rPr>
                                    <w:rFonts w:ascii="Arial" w:eastAsia="Times New Roman" w:hAnsi="Arial" w:cs="Arial"/>
                                    <w:b/>
                                    <w:bCs/>
                                    <w:caps/>
                                    <w:color w:val="1C1C1C"/>
                                    <w:kern w:val="36"/>
                                    <w:sz w:val="58"/>
                                    <w:szCs w:val="58"/>
                                    <w14:ligatures w14:val="none"/>
                                  </w:rPr>
                                  <w:t>ALLEGATO XVIII VIABILITÀ NEI CANTIERI, PONTEGGI E TRASPORTO DEI MATERIALI</w:t>
                                </w:r>
                              </w:p>
                            </w:sdtContent>
                          </w:sdt>
                        </w:txbxContent>
                      </v:textbox>
                    </v:shape>
                    <w10:wrap anchorx="page" anchory="page"/>
                  </v:group>
                </w:pict>
              </mc:Fallback>
            </mc:AlternateContent>
          </w:r>
        </w:p>
        <w:p w14:paraId="657B3C84" w14:textId="40DFD15A" w:rsidR="005D18B8" w:rsidRDefault="005D18B8">
          <w:pPr>
            <w:rPr>
              <w:rFonts w:ascii="segoeui" w:eastAsia="Times New Roman" w:hAnsi="segoeui" w:cs="Times New Roman"/>
              <w:color w:val="3366FF"/>
              <w:kern w:val="0"/>
              <w:sz w:val="24"/>
              <w:szCs w:val="24"/>
              <w:lang w:eastAsia="it-IT"/>
            </w:rPr>
          </w:pPr>
          <w:r>
            <w:rPr>
              <w:rFonts w:ascii="segoeui" w:hAnsi="segoeui"/>
              <w:color w:val="3366FF"/>
            </w:rPr>
            <w:br w:type="page"/>
          </w:r>
        </w:p>
      </w:sdtContent>
    </w:sdt>
    <w:p w14:paraId="110AAFD1" w14:textId="77777777" w:rsidR="005D18B8" w:rsidRDefault="005D18B8" w:rsidP="005D18B8">
      <w:pPr>
        <w:pStyle w:val="NormaleWeb"/>
        <w:shd w:val="clear" w:color="auto" w:fill="FFFFFF"/>
        <w:spacing w:before="0" w:beforeAutospacing="0" w:after="300" w:afterAutospacing="0"/>
        <w:rPr>
          <w:rFonts w:ascii="segoeui" w:hAnsi="segoeui"/>
          <w:color w:val="3366FF"/>
        </w:rPr>
      </w:pPr>
    </w:p>
    <w:p w14:paraId="51DE2411" w14:textId="77777777" w:rsidR="005D18B8" w:rsidRPr="005D18B8" w:rsidRDefault="005D18B8" w:rsidP="005D18B8">
      <w:pPr>
        <w:pBdr>
          <w:top w:val="single" w:sz="2" w:space="0" w:color="auto"/>
          <w:left w:val="single" w:sz="2" w:space="0" w:color="auto"/>
          <w:bottom w:val="single" w:sz="6" w:space="0" w:color="auto"/>
          <w:right w:val="single" w:sz="2" w:space="0" w:color="auto"/>
        </w:pBdr>
        <w:spacing w:before="150" w:after="150" w:line="240" w:lineRule="auto"/>
        <w:jc w:val="center"/>
        <w:outlineLvl w:val="0"/>
        <w:rPr>
          <w:rFonts w:ascii="Arial" w:eastAsia="Times New Roman" w:hAnsi="Arial" w:cs="Arial"/>
          <w:b/>
          <w:bCs/>
          <w:caps/>
          <w:color w:val="1C1C1C"/>
          <w:kern w:val="36"/>
          <w:sz w:val="58"/>
          <w:szCs w:val="58"/>
          <w:lang w:eastAsia="it-IT"/>
          <w14:ligatures w14:val="none"/>
        </w:rPr>
      </w:pPr>
      <w:r w:rsidRPr="005D18B8">
        <w:rPr>
          <w:rFonts w:ascii="Arial" w:eastAsia="Times New Roman" w:hAnsi="Arial" w:cs="Arial"/>
          <w:b/>
          <w:bCs/>
          <w:caps/>
          <w:color w:val="1C1C1C"/>
          <w:kern w:val="36"/>
          <w:sz w:val="58"/>
          <w:szCs w:val="58"/>
          <w:lang w:eastAsia="it-IT"/>
          <w14:ligatures w14:val="none"/>
        </w:rPr>
        <w:t>ALLEGATO XVIII VIABILITÀ NEI CANTIERI, PONTEGGI E TRASPORTO DEI MATERIALI</w:t>
      </w:r>
    </w:p>
    <w:p w14:paraId="3EC56AB5" w14:textId="77777777" w:rsidR="005D18B8" w:rsidRDefault="005D18B8" w:rsidP="005D18B8">
      <w:pPr>
        <w:pStyle w:val="NormaleWeb"/>
        <w:shd w:val="clear" w:color="auto" w:fill="FFFFFF"/>
        <w:spacing w:before="0" w:beforeAutospacing="0" w:after="300" w:afterAutospacing="0"/>
        <w:rPr>
          <w:rFonts w:ascii="segoeui" w:hAnsi="segoeui"/>
          <w:color w:val="3366FF"/>
        </w:rPr>
      </w:pPr>
    </w:p>
    <w:p w14:paraId="49C87B28" w14:textId="6FA69A52"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3366FF"/>
        </w:rPr>
        <w:t>1. Viabilità nei cantieri</w:t>
      </w:r>
    </w:p>
    <w:p w14:paraId="2B298C18"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1.1. Le rampe di accesso al fondo degli scavi di splateamento o di sbancamento devono avere una carreggiata solida, atta a resistere al transito dei mezzi di trasporto di cui è previsto l’impiego, ed una pendenza adeguata alla possibilità dei mezzi stessi. L’accesso pedonale al fondo dello scavo deve essere reso indipendente dall’accesso carrabile; solo nel caso in cui non fosse possibile realizzare tale accesso, la larghezza delle rampe deve essere tale da consentire un franco di almeno 70 centimetri, oltre la sagoma di ingombro del veicolo. Qualora nei tratti lunghi il franco venga limitato ad un solo lato, devono essere realizzate piazzuole o nicchie di rifugio ad intervalli non superiori a 20 metri lungo l’altro lato.</w:t>
      </w:r>
    </w:p>
    <w:p w14:paraId="73F03108"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1.2. I viottoli e le scale con gradini ricavati nel terreno o nella roccia devono essere provvisti di parapetto nei tratti prospicienti il vuoto quando il dislivello superi i 2 metri.</w:t>
      </w:r>
    </w:p>
    <w:p w14:paraId="60960893"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1.3. Le alzate dei gradini ricavati in terreno friabile devono essere sostenute, ove occorra, con tavole e paletti robusti o altri sistemi che garantiscano idonea stabilità.</w:t>
      </w:r>
    </w:p>
    <w:p w14:paraId="76D3D53A"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1.4. Alle vie di accesso ed ai punti pericolosi non proteggibili devono essere apposte segnalazioni opportune e devono essere adottate le disposizioni necessarie per evitare la caduta di gravi dal terreno a monte dei posti di lavoro.</w:t>
      </w:r>
    </w:p>
    <w:p w14:paraId="37A80C81"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1.5. I luoghi destinati al passaggio e al lavoro non devono presentare buche o sporgenze pericolose e devono essere in condizioni tali da rendere sicuro il movimento ed il transito delle persone e dei mezzi di trasporto ed essere inoltre correttamente aerati ed illuminati.</w:t>
      </w:r>
    </w:p>
    <w:p w14:paraId="44F48336"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1.6 Le vie ed uscite di emergenza devono restare sgombre e consentire di raggiungere il più rapidamente possibile un luogo sicuro.</w:t>
      </w:r>
    </w:p>
    <w:p w14:paraId="735A79FE"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1.7 In caso di </w:t>
      </w:r>
      <w:hyperlink r:id="rId4" w:history="1">
        <w:r>
          <w:rPr>
            <w:rStyle w:val="Collegamentoipertestuale"/>
            <w:rFonts w:ascii="segoeui" w:eastAsiaTheme="majorEastAsia" w:hAnsi="segoeui"/>
            <w:color w:val="0069BE"/>
          </w:rPr>
          <w:t>pericolo</w:t>
        </w:r>
      </w:hyperlink>
      <w:r>
        <w:rPr>
          <w:rFonts w:ascii="segoeui" w:hAnsi="segoeui"/>
          <w:color w:val="2E2E2E"/>
        </w:rPr>
        <w:t> i posti di lavoro devono poter essere evacuati rapidamente e in condizioni di massima sicurezza da parte dei </w:t>
      </w:r>
      <w:hyperlink r:id="rId5" w:history="1">
        <w:r>
          <w:rPr>
            <w:rStyle w:val="Collegamentoipertestuale"/>
            <w:rFonts w:ascii="segoeui" w:eastAsiaTheme="majorEastAsia" w:hAnsi="segoeui"/>
            <w:color w:val="0069BE"/>
          </w:rPr>
          <w:t>lavoratori</w:t>
        </w:r>
      </w:hyperlink>
      <w:r>
        <w:rPr>
          <w:rFonts w:ascii="segoeui" w:hAnsi="segoeui"/>
          <w:color w:val="2E2E2E"/>
        </w:rPr>
        <w:t>.</w:t>
      </w:r>
    </w:p>
    <w:p w14:paraId="7106FB22"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lastRenderedPageBreak/>
        <w:t>1.8 Il numero, la distribuzione e le dimensioni delle vie e delle uscite di emergenza dipendono dall’impiego, dall’attrezzatura e dalle dimensioni del </w:t>
      </w:r>
      <w:hyperlink r:id="rId6" w:history="1">
        <w:r>
          <w:rPr>
            <w:rStyle w:val="Collegamentoipertestuale"/>
            <w:rFonts w:ascii="segoeui" w:eastAsiaTheme="majorEastAsia" w:hAnsi="segoeui"/>
            <w:color w:val="0069BE"/>
          </w:rPr>
          <w:t>cantiere</w:t>
        </w:r>
      </w:hyperlink>
      <w:r>
        <w:rPr>
          <w:rFonts w:ascii="segoeui" w:hAnsi="segoeui"/>
          <w:color w:val="2E2E2E"/>
        </w:rPr>
        <w:t> e dei locali nonché dal numero massimo di persone che possono esservi presenti.</w:t>
      </w:r>
    </w:p>
    <w:p w14:paraId="33DD3CEA"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1.9 Le vie e le uscite di emergenza che necessitano di illuminazione devono essere dotate di una illuminazione di emergenza di intensità sufficiente in caso di guasto all’impianto.</w:t>
      </w:r>
    </w:p>
    <w:p w14:paraId="4976B6B2"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3366FF"/>
        </w:rPr>
        <w:t>2. Ponteggi</w:t>
      </w:r>
    </w:p>
    <w:p w14:paraId="6A4BB4C3"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 Ponteggi in legname</w:t>
      </w:r>
    </w:p>
    <w:p w14:paraId="75627E78"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2.1.1. Collegamenti delle impalcature</w:t>
      </w:r>
    </w:p>
    <w:p w14:paraId="5E9AB56E"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2.1.1.1. L’accoppiamento degli elementi che costituiscono i montanti dei ponteggi deve essere eseguito mediante fasciatura con piattina di acciaio dolce fissata con chiodi oppure a mezzo di traversini di legno (ganasce); sono consentite legature fatte con funi di fibra tessile o altri idonei sistemi di connessione.</w:t>
      </w:r>
    </w:p>
    <w:p w14:paraId="702F3644"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2.1.2. Correnti</w:t>
      </w:r>
    </w:p>
    <w:p w14:paraId="5E41D1D3"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2.1.2.1. I correnti devono essere disposti a distanze verticali consecutive non superiori a m 2.</w:t>
      </w:r>
    </w:p>
    <w:p w14:paraId="1E1B8710"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2.1.2.2. Essi devono poggiare su gattelli in legno inchiodati ai montanti ed essere solidamente assicurati ai montanti stessi con fasciatura di piattina di acciaio dolce (reggetta) o chiodi forgiati. Il collegamento può essere ottenuto anche con gattelli in ferro e con almeno doppio giro di catena metallica (agganciaponti); sono consentite legature con funi di fibra tessile o altri idonei sistemi di connessione.</w:t>
      </w:r>
    </w:p>
    <w:p w14:paraId="21192A82"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2.1.2.3. Le estremità dei correnti consecutivi di uno stesso impalcato devono essere sovrapposte e le sovrapposizioni devono avvenire in corrispondenza dei montanti.</w:t>
      </w:r>
    </w:p>
    <w:p w14:paraId="5D8091D2"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2.1.3. Traversi</w:t>
      </w:r>
    </w:p>
    <w:p w14:paraId="286701E7"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2.1.3.1. I traversi di sostegno dell’intavolato devono essere montati perpendicolarmente al fronte della costruzione.</w:t>
      </w:r>
    </w:p>
    <w:p w14:paraId="12C0C1E1"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2.1.3.2. Quando l’impalcatura è fatta con una sola fila di montanti, un estremo dei traversi deve poggiare sulla muratura per non meno di 15 centimetri e l’altro deve essere assicurato al corrente.</w:t>
      </w:r>
    </w:p>
    <w:p w14:paraId="07DA88BE"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2.1.3.3. La distanza fra due traversi consecutivi non deve essere superiore a m 1,20. E’ ammessa deroga alla predetta disposizione sulla distanza reciproca dei traversi, a condizione che:</w:t>
      </w:r>
      <w:r>
        <w:rPr>
          <w:rFonts w:ascii="segoeui" w:hAnsi="segoeui"/>
          <w:color w:val="2E2E2E"/>
        </w:rPr>
        <w:br/>
        <w:t>a) la distanza fra due traversi consecutivi non sia superiore a m 1,80;</w:t>
      </w:r>
      <w:r>
        <w:rPr>
          <w:rFonts w:ascii="segoeui" w:hAnsi="segoeui"/>
          <w:color w:val="2E2E2E"/>
        </w:rPr>
        <w:br/>
      </w:r>
      <w:r>
        <w:rPr>
          <w:rFonts w:ascii="segoeui" w:hAnsi="segoeui"/>
          <w:color w:val="2E2E2E"/>
        </w:rPr>
        <w:lastRenderedPageBreak/>
        <w:t>b) il modulo di resistenza degli elementi dell’impalcato relativo sia superiore a 1,5 volte quello risultante dall’impiego di tavole poggianti su traversi disposti ad una distanza reciproca di m 1,20 e aventi spessore e larghezza rispettivamente di cm 4 e di cm 20. Tale maggiore modulo di resistenza può essere ottenuto mediante impiego, sia di elementi d’impalcato di dimensioni idonee, quali tavole di spessore e di larghezza rispettivamente non minore di 4 x 30 cm ovvero di 5 x 20 cm, sia di elementi d’impalcato compositi aventi caratteristiche di resistenza adeguata.</w:t>
      </w:r>
    </w:p>
    <w:p w14:paraId="65BC96BF"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2.1.4. Intavolati</w:t>
      </w:r>
    </w:p>
    <w:p w14:paraId="0EF0004C"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2.1.4.1. Le tavole costituenti il piano di calpestio di ponti, passerelle, andatoie ed impalcati di servizio devono avere le fibre con andamento parallelo all’asse, spessore adeguato al carico da sopportare ed in ogni caso non minore di 4 centimetri, e larghezza non minore di 20 centimetri. Le tavole stesse non devono avere nodi passanti che riducano più del dieci per cento la sezione di resistenza.</w:t>
      </w:r>
    </w:p>
    <w:p w14:paraId="28480E18"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2.1.4.2. Le tavole non devono presentare parti a sbalzo e devono poggiare almeno su tre traversi, le loro estremità devono essere sovrapposte, in corrispondenza sempre di un traverso, per non meno di 40 centimetri.</w:t>
      </w:r>
    </w:p>
    <w:p w14:paraId="6F51882E"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2.1.4.3. Le tavole devono essere assicurate contro gli spostamenti e ben accostate tra loro e all’opera in costruzione; è tuttavia consentito un distacco dalla muratura non superiore a 20 centimetri soltanto per la esecuzione di lavori in finitura.</w:t>
      </w:r>
    </w:p>
    <w:p w14:paraId="25E24845"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2.1.4.4. Le tavole esterne devono essere a contatto dei montanti.</w:t>
      </w:r>
    </w:p>
    <w:p w14:paraId="74FB46C5"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2.1.5. Parapetti</w:t>
      </w:r>
    </w:p>
    <w:p w14:paraId="66D6ED3F"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2.1.5.1. Il parapetto di cui all’</w:t>
      </w:r>
      <w:hyperlink r:id="rId7" w:history="1">
        <w:r>
          <w:rPr>
            <w:rStyle w:val="Collegamentoipertestuale"/>
            <w:rFonts w:ascii="segoeui" w:eastAsiaTheme="majorEastAsia" w:hAnsi="segoeui"/>
            <w:color w:val="0069BE"/>
          </w:rPr>
          <w:t>articolo 126</w:t>
        </w:r>
      </w:hyperlink>
      <w:r>
        <w:rPr>
          <w:rFonts w:ascii="segoeui" w:hAnsi="segoeui"/>
          <w:color w:val="2E2E2E"/>
        </w:rPr>
        <w:t> è costituito da uno o più correnti paralleli all’intavolato, il cui margine superiore sia posto a non meno di 1 metro dal piano di calpestio, e di tavola fermapiede alta non meno di 20 centimetri, messa di costa e poggiante sul piano di calpestio.</w:t>
      </w:r>
    </w:p>
    <w:p w14:paraId="5E58897D"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2.1.5.2. Correnti e tavola fermapiede non devono lasciare una luce, in senso verticale, maggiore di 60 centimetri.</w:t>
      </w:r>
    </w:p>
    <w:p w14:paraId="059F6711"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2.1.5.3. Sia i correnti che la tavola fermapiede devono essere applicati dalla parte interna dei montanti.</w:t>
      </w:r>
    </w:p>
    <w:p w14:paraId="4F41A4CE"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2.1.5.4. E’ considerata equivalente al parapetto definito ai commi precedenti, qualsiasi protezione, realizzante condizioni di sicurezza contro la caduta verso i lati aperti non inferiori a quelle presentate dal parapetto stesso.</w:t>
      </w:r>
    </w:p>
    <w:p w14:paraId="245C646E"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2.1.6. Ponti a sbalzo</w:t>
      </w:r>
    </w:p>
    <w:p w14:paraId="07859187"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lastRenderedPageBreak/>
        <w:t>2.1.6.1. Per il ponte a sbalzo in legno di cui all’</w:t>
      </w:r>
      <w:hyperlink r:id="rId8" w:history="1">
        <w:r>
          <w:rPr>
            <w:rStyle w:val="Collegamentoipertestuale"/>
            <w:rFonts w:ascii="segoeui" w:eastAsiaTheme="majorEastAsia" w:hAnsi="segoeui"/>
            <w:color w:val="0069BE"/>
          </w:rPr>
          <w:t>articolo 127</w:t>
        </w:r>
      </w:hyperlink>
      <w:r>
        <w:rPr>
          <w:rFonts w:ascii="segoeui" w:hAnsi="segoeui"/>
          <w:color w:val="2E2E2E"/>
        </w:rPr>
        <w:t> devono essere osservate le seguenti norme:</w:t>
      </w:r>
      <w:r>
        <w:rPr>
          <w:rFonts w:ascii="segoeui" w:hAnsi="segoeui"/>
          <w:color w:val="2E2E2E"/>
        </w:rPr>
        <w:br/>
        <w:t>a) l’intavolato deve essere composto con tavole a stretto contatto, senza interstizi che lascino passare materiali minuti, e il parapetto del ponte deve essere pieno; quest’ultimo può essere limitato al solo ponte inferiore nel caso di più ponti sovrapposti;</w:t>
      </w:r>
      <w:r>
        <w:rPr>
          <w:rFonts w:ascii="segoeui" w:hAnsi="segoeui"/>
          <w:color w:val="2E2E2E"/>
        </w:rPr>
        <w:br/>
        <w:t>b) l’intavolato non deve avere larghezza utile maggiore di metri 1,20;</w:t>
      </w:r>
      <w:r>
        <w:rPr>
          <w:rFonts w:ascii="segoeui" w:hAnsi="segoeui"/>
          <w:color w:val="2E2E2E"/>
        </w:rPr>
        <w:br/>
        <w:t>c) i traversi di sostegno dell’impalcato devono essere solidamente ancorati all’interno a parte stabile dell’edificio ricorrendo eventualmente all’impiego di saettoni; non è consentito l’uso di contrappesi come ancoraggio dei traversi, salvo che non sia possibile provvedere altrimenti;</w:t>
      </w:r>
      <w:r>
        <w:rPr>
          <w:rFonts w:ascii="segoeui" w:hAnsi="segoeui"/>
          <w:color w:val="2E2E2E"/>
        </w:rPr>
        <w:br/>
        <w:t>d) i traversi devono poggiare su strutture e materiali resistenti;</w:t>
      </w:r>
      <w:r>
        <w:rPr>
          <w:rFonts w:ascii="segoeui" w:hAnsi="segoeui"/>
          <w:color w:val="2E2E2E"/>
        </w:rPr>
        <w:br/>
        <w:t>e) le parti interne dei traversi devono essere collegate rigidamente fra di loro con due robusti correnti, di cui uno applicato contro il lato interno del muro o dei pilastri e l’altro alle estremità dei traversi in modo da impedire qualsiasi spostamento.</w:t>
      </w:r>
    </w:p>
    <w:p w14:paraId="2A2C990C"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2.1.7. Mensole metalliche</w:t>
      </w:r>
    </w:p>
    <w:p w14:paraId="0BF83342"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2.1.7.1. Nei ponteggi a sbalzo possono essere usati sistemi di mensole metalliche, purché gli elementi fissi portanti siano applicati alla costruzione con bulloni passanti trattenuti dalla parte interna da dadi e controdadi su piastra o da chiavella oppure con altri dispositivi che offrano equivalente resistenza.</w:t>
      </w:r>
      <w:r>
        <w:rPr>
          <w:rFonts w:ascii="segoeui" w:hAnsi="segoeui"/>
          <w:color w:val="2E2E2E"/>
        </w:rPr>
        <w:br/>
        <w:t>2.2. Ponteggi in altro materiale</w:t>
      </w:r>
    </w:p>
    <w:p w14:paraId="4BD332E8"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2.2.1. Caratteristiche di resistenza</w:t>
      </w:r>
    </w:p>
    <w:p w14:paraId="0054D683"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2.2.1.1. Gli elementi costituenti il ponteggio devono avere carico di sicurezza non minore di quello indicato nell’autorizzazione ministeriale prevista all’</w:t>
      </w:r>
      <w:hyperlink r:id="rId9" w:history="1">
        <w:r>
          <w:rPr>
            <w:rStyle w:val="Collegamentoipertestuale"/>
            <w:rFonts w:ascii="segoeui" w:eastAsiaTheme="majorEastAsia" w:hAnsi="segoeui"/>
            <w:color w:val="0069BE"/>
          </w:rPr>
          <w:t>articolo 131</w:t>
        </w:r>
      </w:hyperlink>
      <w:r>
        <w:rPr>
          <w:rFonts w:ascii="segoeui" w:hAnsi="segoeui"/>
          <w:color w:val="2E2E2E"/>
        </w:rPr>
        <w:t>.</w:t>
      </w:r>
    </w:p>
    <w:p w14:paraId="51B6061A"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2.2.1.2. L’estremità inferiore del montante deve essere sostenuta dalla piastra di base, di adeguate dimensioni, corredata da elementi di ripartizione del carico trasmesso dai montanti aventi dimensioni e caratteristiche adeguate ai carichi da trasmettere ed alla consistenza dei piani di posa. La piastra deve avere un dispositivo di collegamento col montante atto a regolare il centraggio del carico su di essa.</w:t>
      </w:r>
    </w:p>
    <w:p w14:paraId="4F14FB39"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2.2.1.3. I ponteggi devono essere controventati opportunamente sia in senso longitudinale che trasversale; è ammessa deroga alla controventatura trasversale a condizione che i collegamenti realizzino una adeguata rigidezza angolare. Ogni controvento deve resistere a trazione e a compressione.</w:t>
      </w:r>
    </w:p>
    <w:p w14:paraId="72F69185"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2.2.1.4. A giunto serrato, le due ganasce non devono essere a contatto dalla parte del bullone.</w:t>
      </w:r>
    </w:p>
    <w:p w14:paraId="78399705"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2.2.1.5. Le parti costituenti il giunto di collegamento, in esercizio devono essere riunite fra di loro permanentemente e solidamente in modo da evitare l’accidentale distacco di qualcuna di esse.</w:t>
      </w:r>
    </w:p>
    <w:p w14:paraId="546396D2"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lastRenderedPageBreak/>
        <w:t>2.2.2. Ponti su cavalletti</w:t>
      </w:r>
    </w:p>
    <w:p w14:paraId="0B9DE7CF"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2.2.2.1. I piedi dei cavalletti, oltre ad essere irrigiditi mediante tiranti normali e diagonali, devono poggiare sempre su piano stabile e ben livellato.</w:t>
      </w:r>
    </w:p>
    <w:p w14:paraId="43D2AACB"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2.2.2.2. La distanza massima tra due cavalletti consecutivi può essere di m 3,60, quando si usino tavole con sezione trasversale di cm 30 x 5 e lunghe m 4. Quando si usino tavole di dimensioni trasversali minori, esse devono poggiare su tre cavalletti.</w:t>
      </w:r>
    </w:p>
    <w:p w14:paraId="03EF093D"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2.2.2.3. La larghezza dell’impalcato non deve essere inferiore a 90 centimetri e le tavole che lo costituiscono, oltre a risultare bene accostate fra loro ed a non presentare parti in sbalzo superiori a 20 centimetri, devono essere fissate ai cavalletti di appoggio.</w:t>
      </w:r>
    </w:p>
    <w:p w14:paraId="04421453"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2.2.2.4. E’ fatto divieto di usare ponti su cavalletti sovrapposti e ponti con i montanti costituiti da scale a pioli.</w:t>
      </w:r>
    </w:p>
    <w:p w14:paraId="7612593D"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3366FF"/>
        </w:rPr>
        <w:t>3. Trasporto dei materiali</w:t>
      </w:r>
    </w:p>
    <w:p w14:paraId="38F675FE"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3.1. Castelli per elevatori</w:t>
      </w:r>
    </w:p>
    <w:p w14:paraId="62195C6D"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3.1.1. I castelli collegati ai ponteggi e costruiti per le operazioni di sollevamento e discesa dei materiali mediante elevatori, devono avere i montanti controventati per ogni due piani di ponteggio.</w:t>
      </w:r>
    </w:p>
    <w:p w14:paraId="01FBA28F"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3.1.2. I montanti che portano l’apparecchio di sollevamento devono essere costituiti, a seconda dell’altezza e del carico massimo da sollevare, da più elementi collegati fra loro e con giunzioni sfalsate, poggianti sui corrispondenti elementi sottostanti.</w:t>
      </w:r>
    </w:p>
    <w:p w14:paraId="2D97FD13"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3.1.3. I castelli devono essere progettati ai sensi dell’</w:t>
      </w:r>
      <w:hyperlink r:id="rId10" w:history="1">
        <w:r>
          <w:rPr>
            <w:rStyle w:val="Collegamentoipertestuale"/>
            <w:rFonts w:ascii="segoeui" w:eastAsiaTheme="majorEastAsia" w:hAnsi="segoeui"/>
            <w:color w:val="0069BE"/>
          </w:rPr>
          <w:t>articolo 133</w:t>
        </w:r>
      </w:hyperlink>
      <w:r>
        <w:rPr>
          <w:rFonts w:ascii="segoeui" w:hAnsi="segoeui"/>
          <w:color w:val="2E2E2E"/>
        </w:rPr>
        <w:t> ed ancorati alla costruzione ad ogni piano di ponteggio.</w:t>
      </w:r>
      <w:r>
        <w:rPr>
          <w:rFonts w:ascii="segoeui" w:hAnsi="segoeui"/>
          <w:color w:val="2E2E2E"/>
        </w:rPr>
        <w:br/>
        <w:t>3.2. Impalcati e parapetti dei castelli</w:t>
      </w:r>
    </w:p>
    <w:p w14:paraId="3AD4936D"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3.2.1. Gli impalcati dei castelli devono risultare sufficientemente ampi e muniti, sui lati verso il vuoto, di parapetto e tavola fermapiede normali.</w:t>
      </w:r>
    </w:p>
    <w:p w14:paraId="08289F0F"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3.2.2. Per il passaggio della benna o del secchione può essere lasciato un varco purché in corrispondenza di esso sia applicato un fermapiede alto non meno di 30 centimetri. Il varco deve essere ridotto allo stretto necessario e delimitato da robusti e rigidi sostegni laterali, dei quali quello opposto alla posizione del tiro deve essere assicurato superiormente ad elementi fissi dell’impalcatura.</w:t>
      </w:r>
    </w:p>
    <w:p w14:paraId="196AA97D"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3.2.3. Dal lato interno dei sostegni di cui sopra, all’altezza di m 1,20 e nel senso normale all’apertura, devono essere applicati due staffoni in ferro sporgenti almeno cm 20, da servire per appoggio e riparo del </w:t>
      </w:r>
      <w:hyperlink r:id="rId11" w:history="1">
        <w:r>
          <w:rPr>
            <w:rStyle w:val="Collegamentoipertestuale"/>
            <w:rFonts w:ascii="segoeui" w:eastAsiaTheme="majorEastAsia" w:hAnsi="segoeui"/>
            <w:color w:val="0069BE"/>
          </w:rPr>
          <w:t>lavoratore</w:t>
        </w:r>
      </w:hyperlink>
      <w:r>
        <w:rPr>
          <w:rFonts w:ascii="segoeui" w:hAnsi="segoeui"/>
          <w:color w:val="2E2E2E"/>
        </w:rPr>
        <w:t>.</w:t>
      </w:r>
    </w:p>
    <w:p w14:paraId="2BF4EC3D"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lastRenderedPageBreak/>
        <w:t>3.2.4. Gli intavolati dei singoli ripiani devono essere formati con tavoloni di spessore non inferiore a cm 5 che devono poggiare su traversi aventi sezione ed interasse dimensionati in relazione al carico massimo previsto per ciascuno dei ripiani medesimi.</w:t>
      </w:r>
    </w:p>
    <w:p w14:paraId="6E17B31A"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3.3. Montaggio degli elevatori</w:t>
      </w:r>
    </w:p>
    <w:p w14:paraId="1E3EEF92"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3.3.1. I montanti delle impalcature, quando gli apparecchi di sollevamento vengono fissati direttamente ad essi, devono essere rafforzati e controventati in modo da ottenere una solidità adeguata alle maggiori sollecitazioni a cui sono sottoposti.</w:t>
      </w:r>
    </w:p>
    <w:p w14:paraId="6F798915"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3.3.2. Nei ponti metallici i montanti, su cui sono applicati direttamente gli elevatori, devono essere di numero ampiamente sufficiente ed in ogni caso non minore di due.</w:t>
      </w:r>
    </w:p>
    <w:p w14:paraId="248CCAB0"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3.3.3. I bracci girevoli portanti le carrucole ed eventualmente gli argani degli elevatori devono essere assicurati ai montanti mediante staffe con bulloni a vite muniti di dado e controdado; analogamente deve essere provveduto per le carrucole di rinvio delle funi ai piedi dei montanti quando gli argani sono installati a terra.</w:t>
      </w:r>
    </w:p>
    <w:p w14:paraId="484896AE"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3.3.4. Gli argani installati a terra, oltre ad essere saldamente ancorati, devono essere disposti in modo che la fune si svolga dalla parte inferiore del tamburo.</w:t>
      </w:r>
    </w:p>
    <w:p w14:paraId="23C97BC3"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3.3.5. Il manovratore degli argani "a bandiera" fissati a montanti di impalcature, quando non possano essere applicati parapetti sui lati e sulla fronte del posto di manovra, deve indossare la cintura di sicurezza.</w:t>
      </w:r>
    </w:p>
    <w:p w14:paraId="039DA68F"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3.3.6. La protezione di cui al precedente punto 3.2.3 deve essere applicata anche per il lavoratore addetto al ricevimento dei carichi sulle normali impalcature.</w:t>
      </w:r>
      <w:r>
        <w:rPr>
          <w:rFonts w:ascii="segoeui" w:hAnsi="segoeui"/>
          <w:color w:val="2E2E2E"/>
        </w:rPr>
        <w:br/>
        <w:t>3.4. Sollevamento di materiali dagli scavi</w:t>
      </w:r>
    </w:p>
    <w:p w14:paraId="520B70B3"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3.4.1. Le incastellature per sostenere argani a mano od a motore per gli scavi in genere, devono poggiare su solida ed ampia piattaforma munita di normali parapetti e tavole fermapiede sui lati prospicienti il vuoto.</w:t>
      </w:r>
    </w:p>
    <w:p w14:paraId="1BEF5813"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3.4.2. Le armature provvisorie per sostenere apparecchi leggeri per lo scavo di pozzi o di scavi a sezione ristretta (arganetti o conocchie) azionati solamente a braccia, devono avere per base un solido telaio, con piattaforme per i lavoratori e fiancate di sostegno dell’asse dell’apparecchio opportunamente irrigidite e controventate.</w:t>
      </w:r>
    </w:p>
    <w:p w14:paraId="48128A99" w14:textId="77777777" w:rsidR="005D18B8" w:rsidRDefault="005D18B8" w:rsidP="005D18B8">
      <w:pPr>
        <w:pStyle w:val="NormaleWeb"/>
        <w:shd w:val="clear" w:color="auto" w:fill="FFFFFF"/>
        <w:spacing w:before="0" w:beforeAutospacing="0" w:after="300" w:afterAutospacing="0"/>
        <w:rPr>
          <w:rFonts w:ascii="segoeui" w:hAnsi="segoeui"/>
          <w:color w:val="2E2E2E"/>
        </w:rPr>
      </w:pPr>
      <w:r>
        <w:rPr>
          <w:rFonts w:ascii="segoeui" w:hAnsi="segoeui"/>
          <w:color w:val="2E2E2E"/>
        </w:rPr>
        <w:t>3.4.3. In ogni caso, quando i suddetti apparecchi sono installati in prossimità di cigli di pozzi o scavi, devono essere adottate le misure necessarie per impedire franamenti o caduta di materiali.</w:t>
      </w:r>
    </w:p>
    <w:p w14:paraId="04B7FE01" w14:textId="77777777" w:rsidR="00336AF8" w:rsidRDefault="00336AF8"/>
    <w:sectPr w:rsidR="00336AF8" w:rsidSect="005D18B8">
      <w:pgSz w:w="11906" w:h="16838"/>
      <w:pgMar w:top="1417" w:right="1134" w:bottom="1134" w:left="1134"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ui">
    <w:altName w:val="Segoe U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6"/>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8B8"/>
    <w:rsid w:val="00336AF8"/>
    <w:rsid w:val="004111CA"/>
    <w:rsid w:val="005D18B8"/>
    <w:rsid w:val="0078417B"/>
    <w:rsid w:val="007D007F"/>
    <w:rsid w:val="00C15881"/>
    <w:rsid w:val="00D078F3"/>
    <w:rsid w:val="00EF4436"/>
    <w:rsid w:val="00F26A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07DC9FF"/>
  <w15:chartTrackingRefBased/>
  <w15:docId w15:val="{264DCC03-AA08-403A-BC78-903585190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D1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D1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D18B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D18B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D18B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D18B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D18B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D18B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D18B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D18B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D18B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D18B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D18B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D18B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D18B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D18B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D18B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D18B8"/>
    <w:rPr>
      <w:rFonts w:eastAsiaTheme="majorEastAsia" w:cstheme="majorBidi"/>
      <w:color w:val="272727" w:themeColor="text1" w:themeTint="D8"/>
    </w:rPr>
  </w:style>
  <w:style w:type="paragraph" w:styleId="Titolo">
    <w:name w:val="Title"/>
    <w:basedOn w:val="Normale"/>
    <w:next w:val="Normale"/>
    <w:link w:val="TitoloCarattere"/>
    <w:uiPriority w:val="10"/>
    <w:qFormat/>
    <w:rsid w:val="005D1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D18B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D18B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D18B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D18B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D18B8"/>
    <w:rPr>
      <w:i/>
      <w:iCs/>
      <w:color w:val="404040" w:themeColor="text1" w:themeTint="BF"/>
    </w:rPr>
  </w:style>
  <w:style w:type="paragraph" w:styleId="Paragrafoelenco">
    <w:name w:val="List Paragraph"/>
    <w:basedOn w:val="Normale"/>
    <w:uiPriority w:val="34"/>
    <w:qFormat/>
    <w:rsid w:val="005D18B8"/>
    <w:pPr>
      <w:ind w:left="720"/>
      <w:contextualSpacing/>
    </w:pPr>
  </w:style>
  <w:style w:type="character" w:styleId="Enfasiintensa">
    <w:name w:val="Intense Emphasis"/>
    <w:basedOn w:val="Carpredefinitoparagrafo"/>
    <w:uiPriority w:val="21"/>
    <w:qFormat/>
    <w:rsid w:val="005D18B8"/>
    <w:rPr>
      <w:i/>
      <w:iCs/>
      <w:color w:val="0F4761" w:themeColor="accent1" w:themeShade="BF"/>
    </w:rPr>
  </w:style>
  <w:style w:type="paragraph" w:styleId="Citazioneintensa">
    <w:name w:val="Intense Quote"/>
    <w:basedOn w:val="Normale"/>
    <w:next w:val="Normale"/>
    <w:link w:val="CitazioneintensaCarattere"/>
    <w:uiPriority w:val="30"/>
    <w:qFormat/>
    <w:rsid w:val="005D1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D18B8"/>
    <w:rPr>
      <w:i/>
      <w:iCs/>
      <w:color w:val="0F4761" w:themeColor="accent1" w:themeShade="BF"/>
    </w:rPr>
  </w:style>
  <w:style w:type="character" w:styleId="Riferimentointenso">
    <w:name w:val="Intense Reference"/>
    <w:basedOn w:val="Carpredefinitoparagrafo"/>
    <w:uiPriority w:val="32"/>
    <w:qFormat/>
    <w:rsid w:val="005D18B8"/>
    <w:rPr>
      <w:b/>
      <w:bCs/>
      <w:smallCaps/>
      <w:color w:val="0F4761" w:themeColor="accent1" w:themeShade="BF"/>
      <w:spacing w:val="5"/>
    </w:rPr>
  </w:style>
  <w:style w:type="paragraph" w:styleId="NormaleWeb">
    <w:name w:val="Normal (Web)"/>
    <w:basedOn w:val="Normale"/>
    <w:uiPriority w:val="99"/>
    <w:semiHidden/>
    <w:unhideWhenUsed/>
    <w:rsid w:val="005D18B8"/>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customStyle="1" w:styleId="mytool">
    <w:name w:val="mytool"/>
    <w:basedOn w:val="Carpredefinitoparagrafo"/>
    <w:rsid w:val="005D18B8"/>
  </w:style>
  <w:style w:type="character" w:styleId="Collegamentoipertestuale">
    <w:name w:val="Hyperlink"/>
    <w:basedOn w:val="Carpredefinitoparagrafo"/>
    <w:uiPriority w:val="99"/>
    <w:semiHidden/>
    <w:unhideWhenUsed/>
    <w:rsid w:val="005D18B8"/>
    <w:rPr>
      <w:color w:val="0000FF"/>
      <w:u w:val="single"/>
    </w:rPr>
  </w:style>
  <w:style w:type="paragraph" w:styleId="Nessunaspaziatura">
    <w:name w:val="No Spacing"/>
    <w:link w:val="NessunaspaziaturaCarattere"/>
    <w:uiPriority w:val="1"/>
    <w:qFormat/>
    <w:rsid w:val="005D18B8"/>
    <w:pPr>
      <w:spacing w:after="0" w:line="240" w:lineRule="auto"/>
    </w:pPr>
    <w:rPr>
      <w:rFonts w:eastAsiaTheme="minorEastAsia"/>
      <w:kern w:val="0"/>
      <w:lang w:eastAsia="it-IT"/>
    </w:rPr>
  </w:style>
  <w:style w:type="character" w:customStyle="1" w:styleId="NessunaspaziaturaCarattere">
    <w:name w:val="Nessuna spaziatura Carattere"/>
    <w:basedOn w:val="Carpredefinitoparagrafo"/>
    <w:link w:val="Nessunaspaziatura"/>
    <w:uiPriority w:val="1"/>
    <w:rsid w:val="005D18B8"/>
    <w:rPr>
      <w:rFonts w:eastAsiaTheme="minorEastAsia"/>
      <w:kern w:val="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548266">
      <w:bodyDiv w:val="1"/>
      <w:marLeft w:val="0"/>
      <w:marRight w:val="0"/>
      <w:marTop w:val="0"/>
      <w:marBottom w:val="0"/>
      <w:divBdr>
        <w:top w:val="none" w:sz="0" w:space="0" w:color="auto"/>
        <w:left w:val="none" w:sz="0" w:space="0" w:color="auto"/>
        <w:bottom w:val="none" w:sz="0" w:space="0" w:color="auto"/>
        <w:right w:val="none" w:sz="0" w:space="0" w:color="auto"/>
      </w:divBdr>
    </w:div>
    <w:div w:id="65303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ssl.it/titolo-iv-cantieri-temporanei-o-mobili/capo-ii-norme-per-la-prevenzione-degli-infortuni-sul-lavoro-nelle-costruzioni-e-nei-lavori-in-quota/sezione-iv-ponteggi-in-legname-e-altre-opere-provvisionali/art-127"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ussl.it/titolo-iv-cantieri-temporanei-o-mobili/capo-ii-norme-per-la-prevenzione-degli-infortuni-sul-lavoro-nelle-costruzioni-e-nei-lavori-in-quota/sezione-iv-ponteggi-in-legname-e-altre-opere-provvisionali/art-126"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ssl.it/glossario/cantiere" TargetMode="External"/><Relationship Id="rId11" Type="http://schemas.openxmlformats.org/officeDocument/2006/relationships/hyperlink" Target="https://tussl.it/glossario/lavoratore" TargetMode="External"/><Relationship Id="rId5" Type="http://schemas.openxmlformats.org/officeDocument/2006/relationships/hyperlink" Target="https://tussl.it/glossario/lavoratore" TargetMode="External"/><Relationship Id="rId10" Type="http://schemas.openxmlformats.org/officeDocument/2006/relationships/hyperlink" Target="https://tussl.it/titolo-iv-cantieri-temporanei-o-mobili/capo-ii-norme-per-la-prevenzione-degli-infortuni-sul-lavoro-nelle-costruzioni-e-nei-lavori-in-quota/sezione-v-ponteggi-fissi/art-133" TargetMode="External"/><Relationship Id="rId4" Type="http://schemas.openxmlformats.org/officeDocument/2006/relationships/hyperlink" Target="https://tussl.it/glossario/pericolo" TargetMode="External"/><Relationship Id="rId9" Type="http://schemas.openxmlformats.org/officeDocument/2006/relationships/hyperlink" Target="https://tussl.it/titolo-iv-cantieri-temporanei-o-mobili/capo-ii-norme-per-la-prevenzione-degli-infortuni-sul-lavoro-nelle-costruzioni-e-nei-lavori-in-quota/sezione-v-ponteggi-fissi/art-131"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2203</Words>
  <Characters>12563</Characters>
  <Application>Microsoft Office Word</Application>
  <DocSecurity>0</DocSecurity>
  <Lines>104</Lines>
  <Paragraphs>29</Paragraphs>
  <ScaleCrop>false</ScaleCrop>
  <Company/>
  <LinksUpToDate>false</LinksUpToDate>
  <CharactersWithSpaces>14737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XVIII VIABILITÀ NEI CANTIERI, PONTEGGI E TRASPORTO DEI MATERIALI</dc:title>
  <dc:subject/>
  <dc:creator>PAOLO BENNI</dc:creator>
  <cp:keywords/>
  <dc:description/>
  <cp:lastModifiedBy>PAOLO BENNI</cp:lastModifiedBy>
  <cp:revision>2</cp:revision>
  <dcterms:created xsi:type="dcterms:W3CDTF">2024-08-31T07:29:00Z</dcterms:created>
  <dcterms:modified xsi:type="dcterms:W3CDTF">2024-08-31T07:29:00Z</dcterms:modified>
</cp:coreProperties>
</file>